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E3" w:rsidRPr="00873648" w:rsidRDefault="00173202" w:rsidP="00A365E3">
      <w:pPr>
        <w:pStyle w:val="Plain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EXCELENTÍSSIMA SENHORA MINISTRA LAURITA VAZ, PRESIDENTE DO AUGUSTO SUPERIOR TRIBUNAL DE JUSTIÇA</w:t>
      </w:r>
    </w:p>
    <w:p w:rsidR="0015179D" w:rsidRPr="00873648" w:rsidRDefault="0015179D" w:rsidP="00E850E4">
      <w:pPr>
        <w:pStyle w:val="Identificao"/>
        <w:rPr>
          <w:sz w:val="28"/>
          <w:szCs w:val="28"/>
        </w:rPr>
      </w:pPr>
    </w:p>
    <w:p w:rsidR="00A365E3" w:rsidRDefault="00A365E3" w:rsidP="00E850E4">
      <w:pPr>
        <w:pStyle w:val="Identificao"/>
        <w:rPr>
          <w:sz w:val="28"/>
          <w:szCs w:val="28"/>
        </w:rPr>
      </w:pPr>
    </w:p>
    <w:p w:rsidR="00BE602B" w:rsidRDefault="00BE602B" w:rsidP="00E850E4">
      <w:pPr>
        <w:pStyle w:val="Identificao"/>
        <w:rPr>
          <w:sz w:val="28"/>
          <w:szCs w:val="28"/>
        </w:rPr>
      </w:pPr>
    </w:p>
    <w:p w:rsidR="00BE602B" w:rsidRPr="00873648" w:rsidRDefault="00BE602B" w:rsidP="00E850E4">
      <w:pPr>
        <w:pStyle w:val="Identificao"/>
        <w:rPr>
          <w:sz w:val="28"/>
          <w:szCs w:val="28"/>
        </w:rPr>
      </w:pPr>
    </w:p>
    <w:p w:rsidR="00A365E3" w:rsidRPr="00873648" w:rsidRDefault="00A365E3" w:rsidP="00E850E4">
      <w:pPr>
        <w:pStyle w:val="Identificao"/>
        <w:rPr>
          <w:sz w:val="28"/>
          <w:szCs w:val="28"/>
        </w:rPr>
      </w:pPr>
    </w:p>
    <w:p w:rsidR="00A365E3" w:rsidRPr="00873648" w:rsidRDefault="00A365E3" w:rsidP="00E850E4">
      <w:pPr>
        <w:pStyle w:val="Identificao"/>
        <w:rPr>
          <w:sz w:val="28"/>
          <w:szCs w:val="28"/>
        </w:rPr>
      </w:pPr>
    </w:p>
    <w:p w:rsidR="00D84D5A" w:rsidRPr="00873648" w:rsidRDefault="00D84D5A" w:rsidP="00D84D5A">
      <w:pPr>
        <w:pStyle w:val="PlainText"/>
        <w:rPr>
          <w:rFonts w:ascii="Arial" w:hAnsi="Arial" w:cs="Arial"/>
          <w:b/>
          <w:sz w:val="28"/>
          <w:szCs w:val="28"/>
        </w:rPr>
      </w:pPr>
    </w:p>
    <w:p w:rsidR="00D84D5A" w:rsidRPr="00873648" w:rsidRDefault="00D84D5A" w:rsidP="00D84D5A">
      <w:pPr>
        <w:pStyle w:val="centralizar"/>
        <w:spacing w:line="360" w:lineRule="exact"/>
        <w:rPr>
          <w:rFonts w:cs="Arial"/>
          <w:sz w:val="28"/>
          <w:szCs w:val="28"/>
        </w:rPr>
      </w:pPr>
    </w:p>
    <w:p w:rsidR="00A365E3" w:rsidRPr="00873648" w:rsidRDefault="00A365E3" w:rsidP="00D84D5A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 xml:space="preserve">O </w:t>
      </w:r>
      <w:r w:rsidRPr="00623A96">
        <w:rPr>
          <w:rFonts w:cs="Arial"/>
          <w:b/>
          <w:sz w:val="28"/>
          <w:szCs w:val="28"/>
        </w:rPr>
        <w:t>Tribunal Regional Federal da 1ª Região</w:t>
      </w:r>
      <w:r w:rsidRPr="00873648">
        <w:rPr>
          <w:rFonts w:cs="Arial"/>
          <w:sz w:val="28"/>
          <w:szCs w:val="28"/>
        </w:rPr>
        <w:t xml:space="preserve"> (TRF1</w:t>
      </w:r>
      <w:r w:rsidR="00304EE3">
        <w:rPr>
          <w:rFonts w:cs="Arial"/>
          <w:sz w:val="28"/>
          <w:szCs w:val="28"/>
        </w:rPr>
        <w:t xml:space="preserve"> </w:t>
      </w:r>
      <w:r w:rsidR="005A7933">
        <w:rPr>
          <w:rFonts w:cs="Arial"/>
          <w:sz w:val="28"/>
          <w:szCs w:val="28"/>
        </w:rPr>
        <w:t xml:space="preserve">ou </w:t>
      </w:r>
      <w:r w:rsidR="00304EE3">
        <w:rPr>
          <w:rFonts w:cs="Arial"/>
          <w:sz w:val="28"/>
          <w:szCs w:val="28"/>
        </w:rPr>
        <w:t>Tribunal Suscitante</w:t>
      </w:r>
      <w:r w:rsidRPr="00873648">
        <w:rPr>
          <w:rFonts w:cs="Arial"/>
          <w:sz w:val="28"/>
          <w:szCs w:val="28"/>
        </w:rPr>
        <w:t xml:space="preserve">), perante o qual foi impetrado o </w:t>
      </w:r>
      <w:r w:rsidRPr="00BE602B">
        <w:rPr>
          <w:rFonts w:cs="Arial"/>
          <w:i/>
          <w:sz w:val="28"/>
          <w:szCs w:val="28"/>
        </w:rPr>
        <w:t>Habeas Corpus</w:t>
      </w:r>
      <w:r w:rsidRPr="00873648">
        <w:rPr>
          <w:rFonts w:cs="Arial"/>
          <w:sz w:val="28"/>
          <w:szCs w:val="28"/>
        </w:rPr>
        <w:t xml:space="preserve"> (Processo 1011139-34.2018.4.01.0000/DF [HC TRF1]), que impugna sentença pela qual o Juízo Federal da 10ª Vara da Seção Judiciária do Distrito Federal (JF 10/DF), nos autos do </w:t>
      </w:r>
      <w:r w:rsidRPr="00BE602B">
        <w:rPr>
          <w:rFonts w:cs="Arial"/>
          <w:i/>
          <w:sz w:val="28"/>
          <w:szCs w:val="28"/>
        </w:rPr>
        <w:t>Habeas Corpus</w:t>
      </w:r>
      <w:r w:rsidRPr="00873648">
        <w:rPr>
          <w:rFonts w:cs="Arial"/>
          <w:sz w:val="28"/>
          <w:szCs w:val="28"/>
        </w:rPr>
        <w:t xml:space="preserve"> impetrado perante aquele honrado Juízo (Processo 10025910520184013400 [HC JF 10/DF]), </w:t>
      </w:r>
      <w:r w:rsidR="00BE602B">
        <w:rPr>
          <w:rFonts w:cs="Arial"/>
          <w:sz w:val="28"/>
          <w:szCs w:val="28"/>
        </w:rPr>
        <w:t>que</w:t>
      </w:r>
      <w:r w:rsidRPr="00873648">
        <w:rPr>
          <w:rFonts w:cs="Arial"/>
          <w:sz w:val="28"/>
          <w:szCs w:val="28"/>
        </w:rPr>
        <w:t xml:space="preserve"> ataca</w:t>
      </w:r>
      <w:r w:rsidR="00BE602B">
        <w:rPr>
          <w:rFonts w:cs="Arial"/>
          <w:sz w:val="28"/>
          <w:szCs w:val="28"/>
        </w:rPr>
        <w:t>va</w:t>
      </w:r>
      <w:r w:rsidRPr="00873648">
        <w:rPr>
          <w:rFonts w:cs="Arial"/>
          <w:sz w:val="28"/>
          <w:szCs w:val="28"/>
        </w:rPr>
        <w:t xml:space="preserve"> ato do Diretor do Departamento de Recuperação e Ativos e Cooperação Jurídica Internacional do Ministério da Justiça (DRCI/MJ), vem, respeitosamente, perante Vossa Excelência, suscitar o presente</w:t>
      </w:r>
    </w:p>
    <w:p w:rsidR="00A365E3" w:rsidRPr="00873648" w:rsidRDefault="00A365E3" w:rsidP="00D84D5A">
      <w:pPr>
        <w:pStyle w:val="Pargrafo"/>
        <w:spacing w:line="360" w:lineRule="exact"/>
        <w:rPr>
          <w:rFonts w:cs="Arial"/>
          <w:sz w:val="28"/>
          <w:szCs w:val="28"/>
        </w:rPr>
      </w:pPr>
      <w:r w:rsidRPr="005A7933">
        <w:rPr>
          <w:rFonts w:cs="Arial"/>
          <w:b/>
          <w:sz w:val="28"/>
          <w:szCs w:val="28"/>
        </w:rPr>
        <w:t>CONFLITO POSITIVO DE COMPETÊNCIA</w:t>
      </w:r>
      <w:r w:rsidR="005A7933" w:rsidRPr="005A7933">
        <w:rPr>
          <w:rFonts w:cs="Arial"/>
          <w:b/>
          <w:sz w:val="28"/>
          <w:szCs w:val="28"/>
        </w:rPr>
        <w:t xml:space="preserve"> (CF, Art. 105, I, </w:t>
      </w:r>
      <w:r w:rsidR="005A7933" w:rsidRPr="005A7933">
        <w:rPr>
          <w:rFonts w:cs="Arial"/>
          <w:b/>
          <w:i/>
          <w:sz w:val="28"/>
          <w:szCs w:val="28"/>
        </w:rPr>
        <w:t>d</w:t>
      </w:r>
      <w:r w:rsidR="005A7933" w:rsidRPr="005A7933">
        <w:rPr>
          <w:rFonts w:cs="Arial"/>
          <w:b/>
          <w:sz w:val="28"/>
          <w:szCs w:val="28"/>
        </w:rPr>
        <w:t>)</w:t>
      </w:r>
      <w:r w:rsidR="005A7933">
        <w:rPr>
          <w:rFonts w:cs="Arial"/>
          <w:sz w:val="28"/>
          <w:szCs w:val="28"/>
        </w:rPr>
        <w:t>,</w:t>
      </w:r>
      <w:r w:rsidRPr="00873648">
        <w:rPr>
          <w:rFonts w:cs="Arial"/>
          <w:sz w:val="28"/>
          <w:szCs w:val="28"/>
        </w:rPr>
        <w:t xml:space="preserve"> </w:t>
      </w:r>
    </w:p>
    <w:p w:rsidR="00A365E3" w:rsidRPr="00873648" w:rsidRDefault="00A365E3" w:rsidP="00D84D5A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 xml:space="preserve">à vista da decisão proferida pelo honrado </w:t>
      </w:r>
      <w:r w:rsidRPr="005A7933">
        <w:rPr>
          <w:rFonts w:cs="Arial"/>
          <w:b/>
          <w:sz w:val="28"/>
          <w:szCs w:val="28"/>
        </w:rPr>
        <w:t xml:space="preserve">Juízo Federal da 13ª Vara </w:t>
      </w:r>
      <w:r w:rsidR="005A7933" w:rsidRPr="005A7933">
        <w:rPr>
          <w:rFonts w:cs="Arial"/>
          <w:b/>
          <w:sz w:val="28"/>
          <w:szCs w:val="28"/>
        </w:rPr>
        <w:t xml:space="preserve">de Curitiba, </w:t>
      </w:r>
      <w:r w:rsidRPr="005A7933">
        <w:rPr>
          <w:rFonts w:cs="Arial"/>
          <w:b/>
          <w:sz w:val="28"/>
          <w:szCs w:val="28"/>
        </w:rPr>
        <w:t>Seção Judiciária d</w:t>
      </w:r>
      <w:r w:rsidR="005A7933" w:rsidRPr="005A7933">
        <w:rPr>
          <w:rFonts w:cs="Arial"/>
          <w:b/>
          <w:sz w:val="28"/>
          <w:szCs w:val="28"/>
        </w:rPr>
        <w:t>o Paraná</w:t>
      </w:r>
      <w:r w:rsidRPr="00873648">
        <w:rPr>
          <w:rFonts w:cs="Arial"/>
          <w:sz w:val="28"/>
          <w:szCs w:val="28"/>
        </w:rPr>
        <w:t xml:space="preserve"> (JF 13/PR</w:t>
      </w:r>
      <w:r w:rsidR="00304EE3">
        <w:rPr>
          <w:rFonts w:cs="Arial"/>
          <w:sz w:val="28"/>
          <w:szCs w:val="28"/>
        </w:rPr>
        <w:t xml:space="preserve"> </w:t>
      </w:r>
      <w:r w:rsidR="005A7933">
        <w:rPr>
          <w:rFonts w:cs="Arial"/>
          <w:sz w:val="28"/>
          <w:szCs w:val="28"/>
        </w:rPr>
        <w:t xml:space="preserve">ou </w:t>
      </w:r>
      <w:r w:rsidR="00304EE3">
        <w:rPr>
          <w:rFonts w:cs="Arial"/>
          <w:sz w:val="28"/>
          <w:szCs w:val="28"/>
        </w:rPr>
        <w:t>Juízo Suscitado</w:t>
      </w:r>
      <w:r w:rsidRPr="00873648">
        <w:rPr>
          <w:rFonts w:cs="Arial"/>
          <w:sz w:val="28"/>
          <w:szCs w:val="28"/>
        </w:rPr>
        <w:t>), vinculado ao egrégio Tribunal Regional Federal da 4ª Região (TRF4), pelos fatos e fundamentos jurídicos expostos a seguir.</w:t>
      </w:r>
    </w:p>
    <w:p w:rsidR="00D84D5A" w:rsidRPr="00873648" w:rsidRDefault="00A365E3" w:rsidP="00A365E3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 xml:space="preserve">Como acima registrado, o </w:t>
      </w:r>
      <w:r w:rsidR="00BE602B">
        <w:rPr>
          <w:rFonts w:cs="Arial"/>
          <w:sz w:val="28"/>
          <w:szCs w:val="28"/>
        </w:rPr>
        <w:t>HC TRF1</w:t>
      </w:r>
      <w:r w:rsidRPr="00873648">
        <w:rPr>
          <w:rFonts w:cs="Arial"/>
          <w:sz w:val="28"/>
          <w:szCs w:val="28"/>
        </w:rPr>
        <w:t xml:space="preserve"> foi impetrado perante esta Corte,</w:t>
      </w:r>
      <w:r w:rsidR="00D84D5A" w:rsidRPr="00873648">
        <w:rPr>
          <w:rFonts w:cs="Arial"/>
          <w:sz w:val="28"/>
          <w:szCs w:val="28"/>
        </w:rPr>
        <w:t xml:space="preserve"> em favor de Raul Schmidt </w:t>
      </w:r>
      <w:proofErr w:type="spellStart"/>
      <w:r w:rsidR="00852BB1" w:rsidRPr="00873648">
        <w:rPr>
          <w:rFonts w:cs="Arial"/>
          <w:sz w:val="28"/>
          <w:szCs w:val="28"/>
        </w:rPr>
        <w:t>Felippe</w:t>
      </w:r>
      <w:proofErr w:type="spellEnd"/>
      <w:r w:rsidR="00852BB1" w:rsidRPr="00873648">
        <w:rPr>
          <w:rFonts w:cs="Arial"/>
          <w:sz w:val="28"/>
          <w:szCs w:val="28"/>
        </w:rPr>
        <w:t xml:space="preserve"> Júnior </w:t>
      </w:r>
      <w:r w:rsidR="00D84D5A" w:rsidRPr="00873648">
        <w:rPr>
          <w:rFonts w:cs="Arial"/>
          <w:sz w:val="28"/>
          <w:szCs w:val="28"/>
        </w:rPr>
        <w:t>(</w:t>
      </w:r>
      <w:r w:rsidRPr="00873648">
        <w:rPr>
          <w:rFonts w:cs="Arial"/>
          <w:sz w:val="28"/>
          <w:szCs w:val="28"/>
        </w:rPr>
        <w:t>interessado</w:t>
      </w:r>
      <w:r w:rsidR="00D84D5A" w:rsidRPr="00873648">
        <w:rPr>
          <w:rFonts w:cs="Arial"/>
          <w:sz w:val="28"/>
          <w:szCs w:val="28"/>
        </w:rPr>
        <w:t>)</w:t>
      </w:r>
      <w:r w:rsidR="00852BB1" w:rsidRPr="00873648">
        <w:rPr>
          <w:rFonts w:cs="Arial"/>
          <w:sz w:val="28"/>
          <w:szCs w:val="28"/>
        </w:rPr>
        <w:t>, português</w:t>
      </w:r>
      <w:r w:rsidR="00EC5522">
        <w:rPr>
          <w:rFonts w:cs="Arial"/>
          <w:sz w:val="28"/>
          <w:szCs w:val="28"/>
        </w:rPr>
        <w:t xml:space="preserve"> nato</w:t>
      </w:r>
      <w:r w:rsidR="00852BB1" w:rsidRPr="00873648">
        <w:rPr>
          <w:rFonts w:cs="Arial"/>
          <w:sz w:val="28"/>
          <w:szCs w:val="28"/>
        </w:rPr>
        <w:t>,</w:t>
      </w:r>
      <w:r w:rsidR="00D84D5A" w:rsidRPr="00873648">
        <w:rPr>
          <w:rFonts w:cs="Arial"/>
          <w:sz w:val="28"/>
          <w:szCs w:val="28"/>
        </w:rPr>
        <w:t xml:space="preserve"> impugnando sentença pela qual o </w:t>
      </w:r>
      <w:r w:rsidR="00EC5522">
        <w:rPr>
          <w:rFonts w:cs="Arial"/>
          <w:sz w:val="28"/>
          <w:szCs w:val="28"/>
        </w:rPr>
        <w:t>JF 10/DF</w:t>
      </w:r>
      <w:r w:rsidR="00D84D5A" w:rsidRPr="00873648">
        <w:rPr>
          <w:rFonts w:cs="Arial"/>
          <w:sz w:val="28"/>
          <w:szCs w:val="28"/>
        </w:rPr>
        <w:t xml:space="preserve"> </w:t>
      </w:r>
      <w:r w:rsidR="00852BB1" w:rsidRPr="00873648">
        <w:rPr>
          <w:rFonts w:cs="Arial"/>
          <w:sz w:val="28"/>
          <w:szCs w:val="28"/>
        </w:rPr>
        <w:t xml:space="preserve">denegou a ordem </w:t>
      </w:r>
      <w:r w:rsidR="00EC5522">
        <w:rPr>
          <w:rFonts w:cs="Arial"/>
          <w:sz w:val="28"/>
          <w:szCs w:val="28"/>
        </w:rPr>
        <w:t>no HC JF 10/DF</w:t>
      </w:r>
      <w:r w:rsidR="00852BB1" w:rsidRPr="00873648">
        <w:rPr>
          <w:rFonts w:cs="Arial"/>
          <w:sz w:val="28"/>
          <w:szCs w:val="28"/>
        </w:rPr>
        <w:t xml:space="preserve"> impetrada em favor do </w:t>
      </w:r>
      <w:r w:rsidRPr="00873648">
        <w:rPr>
          <w:rFonts w:cs="Arial"/>
          <w:sz w:val="28"/>
          <w:szCs w:val="28"/>
        </w:rPr>
        <w:t>interessado</w:t>
      </w:r>
      <w:r w:rsidR="00EC5522">
        <w:rPr>
          <w:rFonts w:cs="Arial"/>
          <w:sz w:val="28"/>
          <w:szCs w:val="28"/>
        </w:rPr>
        <w:t>,</w:t>
      </w:r>
      <w:r w:rsidR="00852BB1" w:rsidRPr="00873648">
        <w:rPr>
          <w:rFonts w:cs="Arial"/>
          <w:sz w:val="28"/>
          <w:szCs w:val="28"/>
        </w:rPr>
        <w:t xml:space="preserve"> no qual se questionava ato do Diretor do </w:t>
      </w:r>
      <w:r w:rsidRPr="00873648">
        <w:rPr>
          <w:rFonts w:cs="Arial"/>
          <w:sz w:val="28"/>
          <w:szCs w:val="28"/>
        </w:rPr>
        <w:t>DRCI/MJ, sediado em Brasília, DF</w:t>
      </w:r>
      <w:r w:rsidR="00852BB1" w:rsidRPr="00873648">
        <w:rPr>
          <w:rFonts w:cs="Arial"/>
          <w:sz w:val="28"/>
          <w:szCs w:val="28"/>
        </w:rPr>
        <w:t>.</w:t>
      </w:r>
    </w:p>
    <w:p w:rsidR="00852BB1" w:rsidRPr="00873648" w:rsidRDefault="00A365E3" w:rsidP="00D84D5A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>No HC TRF1, a parte impetrante</w:t>
      </w:r>
      <w:r w:rsidR="00852BB1" w:rsidRPr="00873648">
        <w:rPr>
          <w:rFonts w:cs="Arial"/>
          <w:sz w:val="28"/>
          <w:szCs w:val="28"/>
        </w:rPr>
        <w:t xml:space="preserve"> sustent</w:t>
      </w:r>
      <w:r w:rsidRPr="00873648">
        <w:rPr>
          <w:rFonts w:cs="Arial"/>
          <w:sz w:val="28"/>
          <w:szCs w:val="28"/>
        </w:rPr>
        <w:t>ou</w:t>
      </w:r>
      <w:r w:rsidR="00852BB1" w:rsidRPr="00873648">
        <w:rPr>
          <w:rFonts w:cs="Arial"/>
          <w:sz w:val="28"/>
          <w:szCs w:val="28"/>
        </w:rPr>
        <w:t xml:space="preserve"> em suma que </w:t>
      </w:r>
      <w:r w:rsidR="00EC5522">
        <w:rPr>
          <w:rFonts w:cs="Arial"/>
          <w:sz w:val="28"/>
          <w:szCs w:val="28"/>
        </w:rPr>
        <w:t xml:space="preserve">o </w:t>
      </w:r>
      <w:r w:rsidR="00EC5522" w:rsidRPr="00EC5522">
        <w:rPr>
          <w:rFonts w:cs="Arial"/>
          <w:i/>
          <w:sz w:val="28"/>
          <w:szCs w:val="28"/>
        </w:rPr>
        <w:t>habeas corpus</w:t>
      </w:r>
      <w:r w:rsidR="00852BB1" w:rsidRPr="00873648">
        <w:rPr>
          <w:rFonts w:cs="Arial"/>
          <w:sz w:val="28"/>
          <w:szCs w:val="28"/>
        </w:rPr>
        <w:t xml:space="preserve"> impetrad</w:t>
      </w:r>
      <w:r w:rsidR="00EC5522">
        <w:rPr>
          <w:rFonts w:cs="Arial"/>
          <w:sz w:val="28"/>
          <w:szCs w:val="28"/>
        </w:rPr>
        <w:t>o</w:t>
      </w:r>
      <w:r w:rsidR="00852BB1" w:rsidRPr="00873648">
        <w:rPr>
          <w:rFonts w:cs="Arial"/>
          <w:sz w:val="28"/>
          <w:szCs w:val="28"/>
        </w:rPr>
        <w:t xml:space="preserve"> perante o J</w:t>
      </w:r>
      <w:r w:rsidRPr="00873648">
        <w:rPr>
          <w:rFonts w:cs="Arial"/>
          <w:sz w:val="28"/>
          <w:szCs w:val="28"/>
        </w:rPr>
        <w:t>F 10</w:t>
      </w:r>
      <w:r w:rsidR="00EC5522">
        <w:rPr>
          <w:rFonts w:cs="Arial"/>
          <w:sz w:val="28"/>
          <w:szCs w:val="28"/>
        </w:rPr>
        <w:t>/DF</w:t>
      </w:r>
      <w:r w:rsidRPr="00873648">
        <w:rPr>
          <w:rFonts w:cs="Arial"/>
          <w:sz w:val="28"/>
          <w:szCs w:val="28"/>
        </w:rPr>
        <w:t xml:space="preserve"> </w:t>
      </w:r>
      <w:r w:rsidR="00852BB1" w:rsidRPr="00873648">
        <w:rPr>
          <w:rFonts w:cs="Arial"/>
          <w:sz w:val="28"/>
          <w:szCs w:val="28"/>
        </w:rPr>
        <w:t xml:space="preserve">tinha por objeto ato do Diretor do </w:t>
      </w:r>
      <w:r w:rsidRPr="00873648">
        <w:rPr>
          <w:rFonts w:cs="Arial"/>
          <w:sz w:val="28"/>
          <w:szCs w:val="28"/>
        </w:rPr>
        <w:t>DRCI/MJ</w:t>
      </w:r>
      <w:r w:rsidR="00852BB1" w:rsidRPr="00873648">
        <w:rPr>
          <w:rFonts w:cs="Arial"/>
          <w:sz w:val="28"/>
          <w:szCs w:val="28"/>
        </w:rPr>
        <w:t xml:space="preserve"> nos autos de procedimento de extradição ativa para a captura e a entrega do paciente</w:t>
      </w:r>
      <w:r w:rsidRPr="00873648">
        <w:rPr>
          <w:rFonts w:cs="Arial"/>
          <w:sz w:val="28"/>
          <w:szCs w:val="28"/>
        </w:rPr>
        <w:t>, ora interessado,</w:t>
      </w:r>
      <w:r w:rsidR="00852BB1" w:rsidRPr="00873648">
        <w:rPr>
          <w:rFonts w:cs="Arial"/>
          <w:sz w:val="28"/>
          <w:szCs w:val="28"/>
        </w:rPr>
        <w:t xml:space="preserve"> às autoridades brasileiras; que o </w:t>
      </w:r>
      <w:r w:rsidRPr="00873648">
        <w:rPr>
          <w:rFonts w:cs="Arial"/>
          <w:sz w:val="28"/>
          <w:szCs w:val="28"/>
        </w:rPr>
        <w:t>interessado</w:t>
      </w:r>
      <w:r w:rsidR="00852BB1" w:rsidRPr="00873648">
        <w:rPr>
          <w:rFonts w:cs="Arial"/>
          <w:sz w:val="28"/>
          <w:szCs w:val="28"/>
        </w:rPr>
        <w:t xml:space="preserve"> responde</w:t>
      </w:r>
      <w:r w:rsidR="00525066" w:rsidRPr="00873648">
        <w:rPr>
          <w:rFonts w:cs="Arial"/>
          <w:sz w:val="28"/>
          <w:szCs w:val="28"/>
        </w:rPr>
        <w:t xml:space="preserve"> a duas ações penais perante o </w:t>
      </w:r>
      <w:r w:rsidR="00EC5522">
        <w:rPr>
          <w:rFonts w:cs="Arial"/>
          <w:sz w:val="28"/>
          <w:szCs w:val="28"/>
        </w:rPr>
        <w:t xml:space="preserve">JF 13/PR (Processos </w:t>
      </w:r>
      <w:r w:rsidR="00EC5522" w:rsidRPr="00EC5522">
        <w:rPr>
          <w:rFonts w:cs="Arial"/>
          <w:sz w:val="28"/>
          <w:szCs w:val="28"/>
        </w:rPr>
        <w:t>5045529-32.2015.4.04.7000/PR e 5012091-78.2016.4.04.7000/PR</w:t>
      </w:r>
      <w:r w:rsidR="00EC5522">
        <w:rPr>
          <w:rFonts w:cs="Arial"/>
          <w:sz w:val="28"/>
          <w:szCs w:val="28"/>
        </w:rPr>
        <w:t>)</w:t>
      </w:r>
      <w:r w:rsidR="00525066" w:rsidRPr="00873648">
        <w:rPr>
          <w:rFonts w:cs="Arial"/>
          <w:sz w:val="28"/>
          <w:szCs w:val="28"/>
        </w:rPr>
        <w:t xml:space="preserve">; </w:t>
      </w:r>
      <w:r w:rsidR="00677DAD" w:rsidRPr="00873648">
        <w:rPr>
          <w:rFonts w:cs="Arial"/>
          <w:sz w:val="28"/>
          <w:szCs w:val="28"/>
        </w:rPr>
        <w:t xml:space="preserve">que o </w:t>
      </w:r>
      <w:r w:rsidR="00677DAD" w:rsidRPr="00873648">
        <w:rPr>
          <w:rFonts w:cs="Arial"/>
          <w:sz w:val="28"/>
          <w:szCs w:val="28"/>
        </w:rPr>
        <w:lastRenderedPageBreak/>
        <w:t xml:space="preserve">andamento dessas ações está suspenso em virtude do encaminhamento, em 23/03/2016, de pedido de extradição do </w:t>
      </w:r>
      <w:r w:rsidRPr="00873648">
        <w:rPr>
          <w:rFonts w:cs="Arial"/>
          <w:sz w:val="28"/>
          <w:szCs w:val="28"/>
        </w:rPr>
        <w:t>interessado,</w:t>
      </w:r>
      <w:r w:rsidR="00677DAD" w:rsidRPr="00873648">
        <w:rPr>
          <w:rFonts w:cs="Arial"/>
          <w:sz w:val="28"/>
          <w:szCs w:val="28"/>
        </w:rPr>
        <w:t xml:space="preserve"> formulado perante a República Portuguesa; que, no procedimento da extradição, a Procuradoria da República Portuguesa consultou as autoridades brasileiras quanto aos limites constitucionais aplicáveis à extradição de cidadãos brasileiros; que, por meio de parecer da Advocacia-Geral da União (AGU), a Procuradoria Lusitana foi informada que, nos termos do Art. 5º, LI, da Constituição Federal, “é vedada [...] a possibilidade de extradição de brasileiro nato, admitindo-se nas hipóteses por ela previstas, a extradição do brasileiro naturalizado”; </w:t>
      </w:r>
      <w:r w:rsidR="00E839F3" w:rsidRPr="00873648">
        <w:rPr>
          <w:rFonts w:cs="Arial"/>
          <w:sz w:val="28"/>
          <w:szCs w:val="28"/>
        </w:rPr>
        <w:t xml:space="preserve">que, na época da consulta, o </w:t>
      </w:r>
      <w:r w:rsidRPr="00873648">
        <w:rPr>
          <w:rFonts w:cs="Arial"/>
          <w:sz w:val="28"/>
          <w:szCs w:val="28"/>
        </w:rPr>
        <w:t>interessado</w:t>
      </w:r>
      <w:r w:rsidR="00E839F3" w:rsidRPr="00873648">
        <w:rPr>
          <w:rFonts w:cs="Arial"/>
          <w:sz w:val="28"/>
          <w:szCs w:val="28"/>
        </w:rPr>
        <w:t xml:space="preserve"> ostentava a condição de cidadão português naturalizado, e, por isso, o Governo </w:t>
      </w:r>
      <w:r w:rsidRPr="00873648">
        <w:rPr>
          <w:rFonts w:cs="Arial"/>
          <w:sz w:val="28"/>
          <w:szCs w:val="28"/>
        </w:rPr>
        <w:t>Brasileiro</w:t>
      </w:r>
      <w:r w:rsidR="00E839F3" w:rsidRPr="00873648">
        <w:rPr>
          <w:rFonts w:cs="Arial"/>
          <w:sz w:val="28"/>
          <w:szCs w:val="28"/>
        </w:rPr>
        <w:t xml:space="preserve"> prometeu reciprocidade ao Governo </w:t>
      </w:r>
      <w:r w:rsidRPr="00873648">
        <w:rPr>
          <w:rFonts w:cs="Arial"/>
          <w:sz w:val="28"/>
          <w:szCs w:val="28"/>
        </w:rPr>
        <w:t>P</w:t>
      </w:r>
      <w:r w:rsidR="00E839F3" w:rsidRPr="00873648">
        <w:rPr>
          <w:rFonts w:cs="Arial"/>
          <w:sz w:val="28"/>
          <w:szCs w:val="28"/>
        </w:rPr>
        <w:t xml:space="preserve">ortuguês; que, em 25/01/2018, o </w:t>
      </w:r>
      <w:r w:rsidRPr="00873648">
        <w:rPr>
          <w:rFonts w:cs="Arial"/>
          <w:sz w:val="28"/>
          <w:szCs w:val="28"/>
        </w:rPr>
        <w:t>interessado</w:t>
      </w:r>
      <w:r w:rsidR="00E839F3" w:rsidRPr="00873648">
        <w:rPr>
          <w:rFonts w:cs="Arial"/>
          <w:sz w:val="28"/>
          <w:szCs w:val="28"/>
        </w:rPr>
        <w:t xml:space="preserve"> apresentou ao </w:t>
      </w:r>
      <w:r w:rsidRPr="00873648">
        <w:rPr>
          <w:rFonts w:cs="Arial"/>
          <w:sz w:val="28"/>
          <w:szCs w:val="28"/>
        </w:rPr>
        <w:t>DRCI/MJ</w:t>
      </w:r>
      <w:r w:rsidR="00E839F3" w:rsidRPr="00873648">
        <w:rPr>
          <w:rFonts w:cs="Arial"/>
          <w:sz w:val="28"/>
          <w:szCs w:val="28"/>
        </w:rPr>
        <w:t xml:space="preserve"> petição instruída com prova documental de sua atual condição de cidadão português nato</w:t>
      </w:r>
      <w:r w:rsidR="00B0643A" w:rsidRPr="00873648">
        <w:rPr>
          <w:rFonts w:cs="Arial"/>
          <w:sz w:val="28"/>
          <w:szCs w:val="28"/>
        </w:rPr>
        <w:t>; que requereu</w:t>
      </w:r>
      <w:r w:rsidR="00E839F3" w:rsidRPr="00873648">
        <w:rPr>
          <w:rFonts w:cs="Arial"/>
          <w:sz w:val="28"/>
          <w:szCs w:val="28"/>
        </w:rPr>
        <w:t xml:space="preserve"> a reconsideração da decisão pela qual foi autorizado o encaminhamento do processo de extradição, a suspensão do processo de extradição</w:t>
      </w:r>
      <w:r w:rsidR="00B0643A" w:rsidRPr="00873648">
        <w:rPr>
          <w:rFonts w:cs="Arial"/>
          <w:sz w:val="28"/>
          <w:szCs w:val="28"/>
        </w:rPr>
        <w:t>,</w:t>
      </w:r>
      <w:r w:rsidR="00E839F3" w:rsidRPr="00873648">
        <w:rPr>
          <w:rFonts w:cs="Arial"/>
          <w:sz w:val="28"/>
          <w:szCs w:val="28"/>
        </w:rPr>
        <w:t xml:space="preserve"> ou o envio de informação ao Ministério da Justiça Português de que, em virtude da atual condição do paciente, de cidadão português nato, o Brasil não mais poderia oferecer reciprocidade</w:t>
      </w:r>
      <w:r w:rsidR="00B0643A" w:rsidRPr="00873648">
        <w:rPr>
          <w:rFonts w:cs="Arial"/>
          <w:sz w:val="28"/>
          <w:szCs w:val="28"/>
        </w:rPr>
        <w:t xml:space="preserve"> (CF,</w:t>
      </w:r>
      <w:r w:rsidR="00E839F3" w:rsidRPr="00873648">
        <w:rPr>
          <w:rFonts w:cs="Arial"/>
          <w:sz w:val="28"/>
          <w:szCs w:val="28"/>
        </w:rPr>
        <w:t xml:space="preserve"> Art. 5º, LI</w:t>
      </w:r>
      <w:r w:rsidR="00B0643A" w:rsidRPr="00873648">
        <w:rPr>
          <w:rFonts w:cs="Arial"/>
          <w:sz w:val="28"/>
          <w:szCs w:val="28"/>
        </w:rPr>
        <w:t>)</w:t>
      </w:r>
      <w:r w:rsidR="00E839F3" w:rsidRPr="00873648">
        <w:rPr>
          <w:rFonts w:cs="Arial"/>
          <w:sz w:val="28"/>
          <w:szCs w:val="28"/>
        </w:rPr>
        <w:t xml:space="preserve">; </w:t>
      </w:r>
      <w:r w:rsidR="00B0643A" w:rsidRPr="00873648">
        <w:rPr>
          <w:rFonts w:cs="Arial"/>
          <w:sz w:val="28"/>
          <w:szCs w:val="28"/>
        </w:rPr>
        <w:t xml:space="preserve">que o </w:t>
      </w:r>
      <w:r w:rsidRPr="00873648">
        <w:rPr>
          <w:rFonts w:cs="Arial"/>
          <w:sz w:val="28"/>
          <w:szCs w:val="28"/>
        </w:rPr>
        <w:t>DRCI/MJ</w:t>
      </w:r>
      <w:r w:rsidR="00B0643A" w:rsidRPr="00873648">
        <w:rPr>
          <w:rFonts w:cs="Arial"/>
          <w:sz w:val="28"/>
          <w:szCs w:val="28"/>
        </w:rPr>
        <w:t xml:space="preserve">, alegando vários motivos, se recusou a apreciar os pedidos formulados pelo </w:t>
      </w:r>
      <w:r w:rsidRPr="00873648">
        <w:rPr>
          <w:rFonts w:cs="Arial"/>
          <w:sz w:val="28"/>
          <w:szCs w:val="28"/>
        </w:rPr>
        <w:t>interessado</w:t>
      </w:r>
      <w:r w:rsidR="00B0643A" w:rsidRPr="00873648">
        <w:rPr>
          <w:rFonts w:cs="Arial"/>
          <w:sz w:val="28"/>
          <w:szCs w:val="28"/>
        </w:rPr>
        <w:t xml:space="preserve">; que interpôs recurso administrativo, ao qual foi negado provimento (Lei 9.784, de 1999, Art. 56); </w:t>
      </w:r>
      <w:r w:rsidR="00C67222" w:rsidRPr="00873648">
        <w:rPr>
          <w:rFonts w:cs="Arial"/>
          <w:sz w:val="28"/>
          <w:szCs w:val="28"/>
        </w:rPr>
        <w:t xml:space="preserve">que, na decisão impugnada </w:t>
      </w:r>
      <w:r w:rsidRPr="00873648">
        <w:rPr>
          <w:rFonts w:cs="Arial"/>
          <w:sz w:val="28"/>
          <w:szCs w:val="28"/>
        </w:rPr>
        <w:t>no HC TRF1</w:t>
      </w:r>
      <w:r w:rsidR="00C67222" w:rsidRPr="00873648">
        <w:rPr>
          <w:rFonts w:cs="Arial"/>
          <w:sz w:val="28"/>
          <w:szCs w:val="28"/>
        </w:rPr>
        <w:t xml:space="preserve">, o Juízo, embora reconhecendo que o paciente ostenta, na atualidade, a condição de cidadão português nato, denegou a ordem de </w:t>
      </w:r>
      <w:r w:rsidR="00C67222" w:rsidRPr="00873648">
        <w:rPr>
          <w:rFonts w:cs="Arial"/>
          <w:i/>
          <w:sz w:val="28"/>
          <w:szCs w:val="28"/>
        </w:rPr>
        <w:t>habeas corpus</w:t>
      </w:r>
      <w:r w:rsidR="00BB33A8" w:rsidRPr="00873648">
        <w:rPr>
          <w:rFonts w:cs="Arial"/>
          <w:sz w:val="28"/>
          <w:szCs w:val="28"/>
        </w:rPr>
        <w:t xml:space="preserve">; que o Juízo concluiu que a questão relativa à aquisição, pelo </w:t>
      </w:r>
      <w:r w:rsidRPr="00873648">
        <w:rPr>
          <w:rFonts w:cs="Arial"/>
          <w:sz w:val="28"/>
          <w:szCs w:val="28"/>
        </w:rPr>
        <w:t>interessado</w:t>
      </w:r>
      <w:r w:rsidR="00BB33A8" w:rsidRPr="00873648">
        <w:rPr>
          <w:rFonts w:cs="Arial"/>
          <w:sz w:val="28"/>
          <w:szCs w:val="28"/>
        </w:rPr>
        <w:t xml:space="preserve">, da nacionalidade portuguesa nata é do conhecimento das autoridades lusitanas, e que a promessa de reciprocidade feita pelo Brasil era válida na data em que foi feita; </w:t>
      </w:r>
      <w:r w:rsidR="00EC2B01" w:rsidRPr="00873648">
        <w:rPr>
          <w:rFonts w:cs="Arial"/>
          <w:sz w:val="28"/>
          <w:szCs w:val="28"/>
        </w:rPr>
        <w:t xml:space="preserve">que incumbe ao </w:t>
      </w:r>
      <w:r w:rsidRPr="00873648">
        <w:rPr>
          <w:rFonts w:cs="Arial"/>
          <w:sz w:val="28"/>
          <w:szCs w:val="28"/>
        </w:rPr>
        <w:t>DRCI/MJ</w:t>
      </w:r>
      <w:r w:rsidR="00EC2B01" w:rsidRPr="00873648">
        <w:rPr>
          <w:rFonts w:cs="Arial"/>
          <w:sz w:val="28"/>
          <w:szCs w:val="28"/>
        </w:rPr>
        <w:t xml:space="preserve"> “o controle prévio da [...] admissibilidade jurídica” do pedido de extradição, como reconhecido pelo Juízo; que é improcedente o argumento de que a aquisição da nacionalidade portuguesa originária seria mera causa facultativa de recusa da extradição pelo Estado Requerido; que a formulação da promessa de concessão de reciprocidade, feita pelo </w:t>
      </w:r>
      <w:r w:rsidRPr="00873648">
        <w:rPr>
          <w:rFonts w:cs="Arial"/>
          <w:sz w:val="28"/>
          <w:szCs w:val="28"/>
        </w:rPr>
        <w:t>DRCI/MJ</w:t>
      </w:r>
      <w:r w:rsidR="00EC2B01" w:rsidRPr="00873648">
        <w:rPr>
          <w:rFonts w:cs="Arial"/>
          <w:sz w:val="28"/>
          <w:szCs w:val="28"/>
        </w:rPr>
        <w:t xml:space="preserve">, decorreu do fato de que à época o </w:t>
      </w:r>
      <w:r w:rsidRPr="00873648">
        <w:rPr>
          <w:rFonts w:cs="Arial"/>
          <w:sz w:val="28"/>
          <w:szCs w:val="28"/>
        </w:rPr>
        <w:t>interessado</w:t>
      </w:r>
      <w:r w:rsidR="00EC2B01" w:rsidRPr="00873648">
        <w:rPr>
          <w:rFonts w:cs="Arial"/>
          <w:sz w:val="28"/>
          <w:szCs w:val="28"/>
        </w:rPr>
        <w:t xml:space="preserve"> era português naturalizado; que, assim, é necessário que as autoridades lusitanas sejam informadas de que a atual condição do paciente, de português nato, impede a formulação da promessa de reciprocidade; que a ordem de execução da extradição do paciente está suspensa até o dia 02/05/2018, por ordem do Tribunal Europeu de Direitos Humanos (TEDH). </w:t>
      </w:r>
      <w:r w:rsidRPr="00873648">
        <w:rPr>
          <w:rFonts w:cs="Arial"/>
          <w:sz w:val="28"/>
          <w:szCs w:val="28"/>
        </w:rPr>
        <w:t>A parte impetrante requereu</w:t>
      </w:r>
      <w:r w:rsidR="00EC2B01" w:rsidRPr="00873648">
        <w:rPr>
          <w:rFonts w:cs="Arial"/>
          <w:sz w:val="28"/>
          <w:szCs w:val="28"/>
        </w:rPr>
        <w:t xml:space="preserve"> o deferimento de medida cautelar para suspender o procedimento de extradição até o julgamento do mérito deste </w:t>
      </w:r>
      <w:r w:rsidR="00EC2B01" w:rsidRPr="00873648">
        <w:rPr>
          <w:rFonts w:cs="Arial"/>
          <w:i/>
          <w:sz w:val="28"/>
          <w:szCs w:val="28"/>
        </w:rPr>
        <w:t>habeas</w:t>
      </w:r>
      <w:r w:rsidR="00EC2B01" w:rsidRPr="00873648">
        <w:rPr>
          <w:rFonts w:cs="Arial"/>
          <w:sz w:val="28"/>
          <w:szCs w:val="28"/>
        </w:rPr>
        <w:t xml:space="preserve">, e, no mérito, a concessão da ordem a fim de que o DRCI informe às autoridades </w:t>
      </w:r>
      <w:r w:rsidR="00EC2B01" w:rsidRPr="00873648">
        <w:rPr>
          <w:rFonts w:cs="Arial"/>
          <w:sz w:val="28"/>
          <w:szCs w:val="28"/>
        </w:rPr>
        <w:lastRenderedPageBreak/>
        <w:t>portuguesas que, à vista da atual condição do paciente (português nato), o Brasil não mais pode formular promessa de reciprocidade.</w:t>
      </w:r>
      <w:r w:rsidR="001205CC">
        <w:rPr>
          <w:rFonts w:cs="Arial"/>
          <w:sz w:val="28"/>
          <w:szCs w:val="28"/>
        </w:rPr>
        <w:t xml:space="preserve"> “</w:t>
      </w:r>
      <w:r w:rsidR="001205CC" w:rsidRPr="001205CC">
        <w:rPr>
          <w:rFonts w:cs="Arial"/>
          <w:sz w:val="28"/>
          <w:szCs w:val="28"/>
        </w:rPr>
        <w:t>Por meio da promessa de reciprocidade o Estado requerente se obriga a acolher, de acordo com o seu Direito interno, idêntico pedido de extradição formulado pelo Estado ora requerido.</w:t>
      </w:r>
      <w:r w:rsidR="001205CC">
        <w:rPr>
          <w:rFonts w:cs="Arial"/>
          <w:sz w:val="28"/>
          <w:szCs w:val="28"/>
        </w:rPr>
        <w:t>”</w:t>
      </w:r>
      <w:r w:rsidR="001205CC">
        <w:rPr>
          <w:rStyle w:val="FootnoteReference"/>
          <w:rFonts w:cs="Arial"/>
          <w:sz w:val="28"/>
          <w:szCs w:val="28"/>
        </w:rPr>
        <w:footnoteReference w:id="1"/>
      </w:r>
      <w:r w:rsidR="001205CC">
        <w:rPr>
          <w:rFonts w:cs="Arial"/>
          <w:sz w:val="28"/>
          <w:szCs w:val="28"/>
        </w:rPr>
        <w:t xml:space="preserve"> Na espécie, o Brasil não pode oferecer promessa de reciprocidade em “idêntico pedido de extradição formulado” por Portugal, ou seja, no caso de brasileiro nato, porquanto nosso “direito interno” o impede de forma expressa. CF, Art. 5º, LI.</w:t>
      </w:r>
    </w:p>
    <w:p w:rsidR="00A365E3" w:rsidRPr="00873648" w:rsidRDefault="00A365E3" w:rsidP="00A365E3">
      <w:pPr>
        <w:pStyle w:val="Pargrafo"/>
        <w:spacing w:line="360" w:lineRule="exact"/>
        <w:rPr>
          <w:sz w:val="28"/>
          <w:szCs w:val="28"/>
        </w:rPr>
      </w:pPr>
      <w:r w:rsidRPr="00873648">
        <w:rPr>
          <w:rFonts w:cs="Arial"/>
          <w:sz w:val="28"/>
          <w:szCs w:val="28"/>
        </w:rPr>
        <w:t>Em 27/04/2018, o Relator Convocado, que subscreve o presente conflito, Juiz Federal LEÃO APARECIDO ALVES, em substituição ao eminente Desembargador Federal MÁRIO CÉSAR RIBEIRO, da Terceira Turma do TRF1, deferiu “</w:t>
      </w:r>
      <w:r w:rsidRPr="00873648">
        <w:rPr>
          <w:sz w:val="28"/>
          <w:szCs w:val="28"/>
        </w:rPr>
        <w:t>o pedido de medida cautelar liminar para determinar ao DRCI que suspenda o procedimento de extradição do [interessado], até ulterior determinação desta Corte”.</w:t>
      </w:r>
    </w:p>
    <w:p w:rsidR="00A365E3" w:rsidRPr="00873648" w:rsidRDefault="00873648" w:rsidP="00A365E3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Nossa</w:t>
      </w:r>
      <w:r w:rsidR="00A365E3" w:rsidRPr="00873648">
        <w:rPr>
          <w:sz w:val="28"/>
          <w:szCs w:val="28"/>
        </w:rPr>
        <w:t xml:space="preserve"> singela decisão fundou-se na constatação da presença dos requisitos da plausibilidade dos fundamentos jurídicos invocados e do </w:t>
      </w:r>
      <w:r w:rsidR="00A365E3" w:rsidRPr="00873648">
        <w:rPr>
          <w:i/>
          <w:sz w:val="28"/>
          <w:szCs w:val="28"/>
        </w:rPr>
        <w:t>periculum in mora</w:t>
      </w:r>
      <w:r w:rsidR="00A365E3" w:rsidRPr="00873648">
        <w:rPr>
          <w:sz w:val="28"/>
          <w:szCs w:val="28"/>
        </w:rPr>
        <w:t>. O primeiro resulta da constatação irrefragável de que o Brasil, em virtude de garantia constitucional expressa, não pode oferecer reciprocidade, no procedimento de extradição, em se tratando de brasileiro nato. CF, Art. 5º, LI. O segundo decorre do fato de que a execução da extradição do interessado está suspensa até o dia 02/05/2018, por decisão do TEDH.</w:t>
      </w:r>
    </w:p>
    <w:p w:rsidR="00A365E3" w:rsidRDefault="00A365E3" w:rsidP="00A365E3">
      <w:pPr>
        <w:pStyle w:val="Pargrafo"/>
        <w:spacing w:line="360" w:lineRule="exact"/>
        <w:rPr>
          <w:sz w:val="28"/>
          <w:szCs w:val="28"/>
        </w:rPr>
      </w:pPr>
      <w:r w:rsidRPr="00873648">
        <w:rPr>
          <w:sz w:val="28"/>
          <w:szCs w:val="28"/>
        </w:rPr>
        <w:t xml:space="preserve">A despeito de a decisão desta Corte ter sido prolatada em </w:t>
      </w:r>
      <w:r w:rsidRPr="00D06DA3">
        <w:rPr>
          <w:i/>
          <w:sz w:val="28"/>
          <w:szCs w:val="28"/>
        </w:rPr>
        <w:t>habeas corpus</w:t>
      </w:r>
      <w:r w:rsidRPr="00873648">
        <w:rPr>
          <w:sz w:val="28"/>
          <w:szCs w:val="28"/>
        </w:rPr>
        <w:t xml:space="preserve"> perante ela impetrado, atacando ato de Juízo Federal vinculado à sua jurisdição (JF 10/DF), o JF 13/PR, vinculado ao TRF4, no mesmo dia 27/04/2018, proferiu decisão na qual concluiu que esta Corte “não tem jurisdição sobre o assunto.” Segundo o JF 13/PR, as “[q]</w:t>
      </w:r>
      <w:proofErr w:type="spellStart"/>
      <w:r w:rsidRPr="00873648">
        <w:rPr>
          <w:sz w:val="28"/>
          <w:szCs w:val="28"/>
        </w:rPr>
        <w:t>uestões</w:t>
      </w:r>
      <w:proofErr w:type="spellEnd"/>
      <w:r w:rsidRPr="00873648">
        <w:rPr>
          <w:sz w:val="28"/>
          <w:szCs w:val="28"/>
        </w:rPr>
        <w:t xml:space="preserve"> relativas à extradição estão submetidas a [ele] e, por conseguinte, em grau de recurso ao [TRF4] e ao Superior Tribunal de Justiça.” O JF 13/PR pontuou, ainda, que, “ao encaminhar o pedido de extradição, [aquela] autoridade judiciária é a autoridade requerente.”</w:t>
      </w:r>
      <w:r w:rsidR="00304EE3">
        <w:rPr>
          <w:sz w:val="28"/>
          <w:szCs w:val="28"/>
        </w:rPr>
        <w:t xml:space="preserve"> Em seguida, o JF 13/PR afirmou que, “[a]</w:t>
      </w:r>
      <w:proofErr w:type="spellStart"/>
      <w:r w:rsidR="00304EE3">
        <w:rPr>
          <w:sz w:val="28"/>
          <w:szCs w:val="28"/>
        </w:rPr>
        <w:t>ssim</w:t>
      </w:r>
      <w:proofErr w:type="spellEnd"/>
      <w:r w:rsidR="00304EE3">
        <w:rPr>
          <w:sz w:val="28"/>
          <w:szCs w:val="28"/>
        </w:rPr>
        <w:t xml:space="preserve">, deve o [DRCI/MJ] prosseguir no cumprimento do pedido de extradição encaminhado por [aquela] autoridade judiciária”. Precisamente neste ponto reside o conflito ora submetido à apreciação dessa colenda Corte Superior. Enquanto esta Corte, na apreciação do pedido de medida cautelar em habeas corpus que impugna decisão de Juízo submetido à sua jurisdição, </w:t>
      </w:r>
      <w:r w:rsidR="00304EE3">
        <w:rPr>
          <w:sz w:val="28"/>
          <w:szCs w:val="28"/>
        </w:rPr>
        <w:lastRenderedPageBreak/>
        <w:t>deferiu-a para suspender, temporariamente, o procedimento de extradição, o Juízo Suscitado (JF 13/PR) determinou o prosseguimento da extradição.</w:t>
      </w:r>
    </w:p>
    <w:p w:rsidR="00304EE3" w:rsidRPr="00873648" w:rsidRDefault="00304EE3" w:rsidP="00A365E3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Inicialmente, cumpre repisar que a decisão desta Corte foi proferida nos autos de </w:t>
      </w:r>
      <w:r w:rsidRPr="00304EE3">
        <w:rPr>
          <w:i/>
          <w:sz w:val="28"/>
          <w:szCs w:val="28"/>
        </w:rPr>
        <w:t>habeas corpus</w:t>
      </w:r>
      <w:r>
        <w:rPr>
          <w:sz w:val="28"/>
          <w:szCs w:val="28"/>
        </w:rPr>
        <w:t xml:space="preserve"> impetrado de sentença pela qual o JF 10/DF denegou a ordem originariamente impetrada, que impugnava ato do DRCI/MJ, e, portanto, no legítimo exercício de nossa jurisdição. CF, Art. 108, I, </w:t>
      </w:r>
      <w:r w:rsidRPr="00304EE3">
        <w:rPr>
          <w:i/>
          <w:sz w:val="28"/>
          <w:szCs w:val="28"/>
        </w:rPr>
        <w:t>d</w:t>
      </w:r>
      <w:r>
        <w:rPr>
          <w:sz w:val="28"/>
          <w:szCs w:val="28"/>
        </w:rPr>
        <w:t>. (“Compete aos Tribunais Regionais Federais [...] processar e julgar originariamente [...] os habeas corpus, quando a autoridade coatora for juiz federal”.)</w:t>
      </w:r>
    </w:p>
    <w:p w:rsidR="00D06DA3" w:rsidRDefault="00304EE3" w:rsidP="00D06DA3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Por sua parte</w:t>
      </w:r>
      <w:r w:rsidR="00A365E3" w:rsidRPr="00873648">
        <w:rPr>
          <w:sz w:val="28"/>
          <w:szCs w:val="28"/>
        </w:rPr>
        <w:t xml:space="preserve">, o Juízo (JF 13/PR) no qual tramita o pedido de extradição encerra sua jurisdição, no procedimento respectivo, com a decisão de requestar ao Estado Requerido a entrega da pessoa suspeita de prática criminosa que se encontre no território dele. </w:t>
      </w:r>
      <w:r w:rsidR="00D06DA3">
        <w:rPr>
          <w:sz w:val="28"/>
          <w:szCs w:val="28"/>
        </w:rPr>
        <w:t>Dessa forma, com o “</w:t>
      </w:r>
      <w:r w:rsidR="00D06DA3" w:rsidRPr="00D06DA3">
        <w:rPr>
          <w:sz w:val="28"/>
          <w:szCs w:val="28"/>
        </w:rPr>
        <w:t>encaminhamento, em 23 de março</w:t>
      </w:r>
      <w:r w:rsidR="00D06DA3">
        <w:rPr>
          <w:sz w:val="28"/>
          <w:szCs w:val="28"/>
        </w:rPr>
        <w:t xml:space="preserve"> </w:t>
      </w:r>
      <w:r w:rsidR="00D06DA3" w:rsidRPr="00D06DA3">
        <w:rPr>
          <w:sz w:val="28"/>
          <w:szCs w:val="28"/>
        </w:rPr>
        <w:t>de 2016, de pedido de extradição do paciente ao Ministério das Relações Exteriores pelo</w:t>
      </w:r>
      <w:r w:rsidR="00D06DA3">
        <w:rPr>
          <w:sz w:val="28"/>
          <w:szCs w:val="28"/>
        </w:rPr>
        <w:t xml:space="preserve"> </w:t>
      </w:r>
      <w:r w:rsidR="00D06DA3" w:rsidRPr="00D06DA3">
        <w:rPr>
          <w:sz w:val="28"/>
          <w:szCs w:val="28"/>
        </w:rPr>
        <w:t>Exmo. Ministro da Justiça, nos termos do Aviso n.º 302/2016 – MJ</w:t>
      </w:r>
      <w:r w:rsidR="00D06DA3">
        <w:rPr>
          <w:sz w:val="28"/>
          <w:szCs w:val="28"/>
        </w:rPr>
        <w:t>”</w:t>
      </w:r>
      <w:r w:rsidR="0060230F">
        <w:rPr>
          <w:rStyle w:val="FootnoteReference"/>
          <w:sz w:val="28"/>
          <w:szCs w:val="28"/>
        </w:rPr>
        <w:footnoteReference w:id="2"/>
      </w:r>
      <w:r w:rsidR="00D06DA3">
        <w:rPr>
          <w:sz w:val="28"/>
          <w:szCs w:val="28"/>
        </w:rPr>
        <w:t>, o Juízo Suscitado deixou de ter jurisdição sobre o trâmite do procedimento respectivo.</w:t>
      </w:r>
    </w:p>
    <w:p w:rsidR="00A365E3" w:rsidRDefault="00A365E3" w:rsidP="00A365E3">
      <w:pPr>
        <w:pStyle w:val="Pargrafo"/>
        <w:spacing w:line="360" w:lineRule="exact"/>
        <w:rPr>
          <w:sz w:val="28"/>
          <w:szCs w:val="28"/>
        </w:rPr>
      </w:pPr>
      <w:r w:rsidRPr="00873648">
        <w:rPr>
          <w:sz w:val="28"/>
          <w:szCs w:val="28"/>
        </w:rPr>
        <w:t xml:space="preserve">Cabe, em seguida, às autoridades administrativas do Estado Requerente formular, perante o Estado Requerido, a entrega da pessoa suspeita de prática criminosa. </w:t>
      </w:r>
      <w:r w:rsidR="0060230F">
        <w:rPr>
          <w:sz w:val="28"/>
          <w:szCs w:val="28"/>
        </w:rPr>
        <w:t>No processamento do pedido de extradição, coube ao DRCI</w:t>
      </w:r>
      <w:r w:rsidR="00873648">
        <w:rPr>
          <w:sz w:val="28"/>
          <w:szCs w:val="28"/>
        </w:rPr>
        <w:t>/MJ</w:t>
      </w:r>
      <w:r w:rsidR="0060230F">
        <w:rPr>
          <w:sz w:val="28"/>
          <w:szCs w:val="28"/>
        </w:rPr>
        <w:t xml:space="preserve"> informar, como acima salientado, às autoridades do Estado Requerido, que a então condição do interessado, de português naturalizado, constituía limitação parcial à promessa de reciprocidade</w:t>
      </w:r>
      <w:r w:rsidR="00A313DC">
        <w:rPr>
          <w:sz w:val="28"/>
          <w:szCs w:val="28"/>
        </w:rPr>
        <w:t>, ou nas palavras do DRCI/MJ, “causa de recusa facultativa do Estado Requerido”</w:t>
      </w:r>
      <w:r w:rsidR="00A313DC">
        <w:rPr>
          <w:rStyle w:val="FootnoteReference"/>
          <w:sz w:val="28"/>
          <w:szCs w:val="28"/>
        </w:rPr>
        <w:footnoteReference w:id="3"/>
      </w:r>
      <w:r w:rsidR="0060230F">
        <w:rPr>
          <w:sz w:val="28"/>
          <w:szCs w:val="28"/>
        </w:rPr>
        <w:t>. Com a aquisição, pelo interessado, da condição de português nato, surgiu para ele o direito de que sua nova condição, em virtude de garantia constitucional assegurada aos brasileiros natos, interfere na formulação da promessa de reciprocidade em se tratando de português nato.</w:t>
      </w:r>
      <w:r w:rsidR="00A313DC">
        <w:rPr>
          <w:sz w:val="28"/>
          <w:szCs w:val="28"/>
        </w:rPr>
        <w:t xml:space="preserve"> </w:t>
      </w:r>
      <w:r w:rsidR="0060230F">
        <w:rPr>
          <w:sz w:val="28"/>
          <w:szCs w:val="28"/>
        </w:rPr>
        <w:t>O</w:t>
      </w:r>
      <w:r w:rsidR="0060230F" w:rsidRPr="0060230F">
        <w:rPr>
          <w:sz w:val="28"/>
          <w:szCs w:val="28"/>
        </w:rPr>
        <w:t xml:space="preserve"> </w:t>
      </w:r>
      <w:r w:rsidR="0060230F">
        <w:rPr>
          <w:sz w:val="28"/>
          <w:szCs w:val="28"/>
        </w:rPr>
        <w:t>DRCI/MJ</w:t>
      </w:r>
      <w:r w:rsidR="00873648">
        <w:rPr>
          <w:sz w:val="28"/>
          <w:szCs w:val="28"/>
        </w:rPr>
        <w:t>, sediado em Brasília, está sujeito à jurisdição da Seção Judiciária do Distrito Federal</w:t>
      </w:r>
      <w:r w:rsidR="00304EE3">
        <w:rPr>
          <w:sz w:val="28"/>
          <w:szCs w:val="28"/>
        </w:rPr>
        <w:t>,</w:t>
      </w:r>
      <w:r w:rsidR="00873648">
        <w:rPr>
          <w:sz w:val="28"/>
          <w:szCs w:val="28"/>
        </w:rPr>
        <w:t xml:space="preserve"> e</w:t>
      </w:r>
      <w:r w:rsidR="00304EE3">
        <w:rPr>
          <w:sz w:val="28"/>
          <w:szCs w:val="28"/>
        </w:rPr>
        <w:t>, por conseguinte,</w:t>
      </w:r>
      <w:r w:rsidR="00873648">
        <w:rPr>
          <w:sz w:val="28"/>
          <w:szCs w:val="28"/>
        </w:rPr>
        <w:t xml:space="preserve"> desta Corte, em </w:t>
      </w:r>
      <w:r w:rsidR="00304EE3" w:rsidRPr="00304EE3">
        <w:rPr>
          <w:i/>
          <w:sz w:val="28"/>
          <w:szCs w:val="28"/>
        </w:rPr>
        <w:t>habeas corpus</w:t>
      </w:r>
      <w:r w:rsidR="00873648">
        <w:rPr>
          <w:sz w:val="28"/>
          <w:szCs w:val="28"/>
        </w:rPr>
        <w:t>.</w:t>
      </w:r>
      <w:r w:rsidR="00304EE3">
        <w:rPr>
          <w:sz w:val="28"/>
          <w:szCs w:val="28"/>
        </w:rPr>
        <w:t xml:space="preserve"> CF, Art. 108, I, </w:t>
      </w:r>
      <w:r w:rsidR="00304EE3" w:rsidRPr="00304EE3">
        <w:rPr>
          <w:i/>
          <w:sz w:val="28"/>
          <w:szCs w:val="28"/>
        </w:rPr>
        <w:t>d</w:t>
      </w:r>
      <w:r w:rsidR="00304EE3">
        <w:rPr>
          <w:sz w:val="28"/>
          <w:szCs w:val="28"/>
        </w:rPr>
        <w:t>.</w:t>
      </w:r>
    </w:p>
    <w:p w:rsidR="00873648" w:rsidRDefault="00873648" w:rsidP="00A365E3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O JF 13/PR afirma, ainda, na decisão pela qual questionou a competência desta Corte, que “[a] liminar exarada [por esta Corte] interfere indevidamente, com todo o respeito, na competência [daquele Juízo] e no cumprimento de ordem de prisão já mantida à unanimidade pelo Egrégio [TRF4] e [pelo] Egrégio [STJ].” Também “com todo o respeito”, entendemos que a decisão liminar desta Corte não é o único empecilho ao cumprimento </w:t>
      </w:r>
      <w:r>
        <w:rPr>
          <w:sz w:val="28"/>
          <w:szCs w:val="28"/>
        </w:rPr>
        <w:lastRenderedPageBreak/>
        <w:t>da ordem de prisão, porquanto ainda remanesce, até pelo menos 02/05/2018, a impossibilidade de execução da extradição do interessado, em virtude de decisão do TEDH. Ademais, a decisão proferida por esta Corte visou apenas a evitar dano de difícil reparação ao interessado, enquanto a Corte analisa a procedência, ou não, da pretensão dele, de que as autoridades do Estado Requerido sejam informadas, pelo DRCI/MJ, da limitação constitucional à oferta de promessa de reciprocidade em se tratando de brasileiro nato. Asseguramos que essa decisão</w:t>
      </w:r>
      <w:r w:rsidR="00B922DF">
        <w:rPr>
          <w:sz w:val="28"/>
          <w:szCs w:val="28"/>
        </w:rPr>
        <w:t>, mantida nossa competência,</w:t>
      </w:r>
      <w:r>
        <w:rPr>
          <w:sz w:val="28"/>
          <w:szCs w:val="28"/>
        </w:rPr>
        <w:t xml:space="preserve"> </w:t>
      </w:r>
      <w:r w:rsidR="00B922DF">
        <w:rPr>
          <w:sz w:val="28"/>
          <w:szCs w:val="28"/>
        </w:rPr>
        <w:t>será proferida em tempo razoável</w:t>
      </w:r>
      <w:r>
        <w:rPr>
          <w:sz w:val="28"/>
          <w:szCs w:val="28"/>
        </w:rPr>
        <w:t>.</w:t>
      </w:r>
    </w:p>
    <w:p w:rsidR="004B004E" w:rsidRPr="00873648" w:rsidRDefault="004B004E" w:rsidP="00A365E3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Por outro lado, a ordem de prisão do interessado, emanada do Juízo Suscitado, confirmada pelo TRF4 e por essa augusta Corte, somente poderá ser cumprida após a execução da extradição, já que nosso sistema jurídico não admite a captura extrajudicial. Assim sendo, enquanto perdurar o procedimento para a extradição do interessado, a ordem de prisão não poderá ser executada. O procedimento de extradição em causa, por sua vez, está, indubitavelmente, sob a jurisdição desta Corte, porquanto foi questionado em </w:t>
      </w:r>
      <w:r w:rsidRPr="004B004E">
        <w:rPr>
          <w:i/>
          <w:sz w:val="28"/>
          <w:szCs w:val="28"/>
        </w:rPr>
        <w:t>habeas corpus</w:t>
      </w:r>
      <w:r>
        <w:rPr>
          <w:sz w:val="28"/>
          <w:szCs w:val="28"/>
        </w:rPr>
        <w:t xml:space="preserve"> impetrado perante Juízo vinculado à nossa jurisdição.</w:t>
      </w:r>
    </w:p>
    <w:p w:rsidR="00A365E3" w:rsidRPr="00873648" w:rsidRDefault="00873648" w:rsidP="00A365E3">
      <w:pPr>
        <w:pStyle w:val="Pargrafo"/>
        <w:spacing w:line="360" w:lineRule="exact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Em virtude da impetração de </w:t>
      </w:r>
      <w:r w:rsidRPr="00873648">
        <w:rPr>
          <w:i/>
          <w:sz w:val="28"/>
          <w:szCs w:val="28"/>
        </w:rPr>
        <w:t>habeas corpus</w:t>
      </w:r>
      <w:r>
        <w:rPr>
          <w:sz w:val="28"/>
          <w:szCs w:val="28"/>
        </w:rPr>
        <w:t xml:space="preserve"> perante as autoridades judiciárias da 1ª Região</w:t>
      </w:r>
      <w:r w:rsidR="00A365E3" w:rsidRPr="00873648">
        <w:rPr>
          <w:sz w:val="28"/>
          <w:szCs w:val="28"/>
        </w:rPr>
        <w:t>, a atuação da autoridade administrativa (</w:t>
      </w:r>
      <w:r w:rsidR="00A365E3" w:rsidRPr="00873648">
        <w:rPr>
          <w:rFonts w:cs="Arial"/>
          <w:sz w:val="28"/>
          <w:szCs w:val="28"/>
        </w:rPr>
        <w:t>DRCI/MJ)</w:t>
      </w:r>
      <w:r>
        <w:rPr>
          <w:rFonts w:cs="Arial"/>
          <w:sz w:val="28"/>
          <w:szCs w:val="28"/>
        </w:rPr>
        <w:t>, na condução do procedimento de extradição,</w:t>
      </w:r>
      <w:r w:rsidR="00A365E3" w:rsidRPr="00873648">
        <w:rPr>
          <w:rFonts w:cs="Arial"/>
          <w:sz w:val="28"/>
          <w:szCs w:val="28"/>
        </w:rPr>
        <w:t xml:space="preserve"> está sujeita à jurisdição originária do JF 10/DF, e, em grau de recurso, a esta Corte e aos Tribunais Superiores (STJ e STF).</w:t>
      </w:r>
    </w:p>
    <w:p w:rsidR="00A365E3" w:rsidRPr="00873648" w:rsidRDefault="00A365E3" w:rsidP="00A365E3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>No procedimento de extradição, é indubitável que assiste ao súdito estrangeiro o direito de que as autoridades competentes do Estado Requerido sejam informadas, de modo inequívoco, quanto às limitações legais existentes que o Estado Requerente deverá observar na tramitação do pedido. Assim, por exemplo, o STF, ao autorizar a extradição de súditos estrangeiros, sujeitos, no Estado Requerente, à pena de morte</w:t>
      </w:r>
      <w:r w:rsidR="00873648">
        <w:rPr>
          <w:rFonts w:cs="Arial"/>
          <w:sz w:val="28"/>
          <w:szCs w:val="28"/>
        </w:rPr>
        <w:t>,</w:t>
      </w:r>
      <w:r w:rsidRPr="00873648">
        <w:rPr>
          <w:rFonts w:cs="Arial"/>
          <w:sz w:val="28"/>
          <w:szCs w:val="28"/>
        </w:rPr>
        <w:t xml:space="preserve"> à prisão perpétua</w:t>
      </w:r>
      <w:r w:rsidR="00873648">
        <w:rPr>
          <w:rFonts w:cs="Arial"/>
          <w:sz w:val="28"/>
          <w:szCs w:val="28"/>
        </w:rPr>
        <w:t xml:space="preserve"> ou à prisão por período superior ao autorizado em nosso ordenamento jurídico (CP, Art. 75)</w:t>
      </w:r>
      <w:r w:rsidRPr="00873648">
        <w:rPr>
          <w:rFonts w:cs="Arial"/>
          <w:sz w:val="28"/>
          <w:szCs w:val="28"/>
        </w:rPr>
        <w:t xml:space="preserve">, exige o compromisso do Estado Requerente de comutar essas penas em prisão por no máximo 30 anos. </w:t>
      </w:r>
      <w:r w:rsidR="0094589E" w:rsidRPr="00873648">
        <w:rPr>
          <w:rFonts w:cs="Arial"/>
          <w:sz w:val="28"/>
          <w:szCs w:val="28"/>
        </w:rPr>
        <w:t xml:space="preserve">Nesse sentido, a Segunda Turma, </w:t>
      </w:r>
    </w:p>
    <w:p w:rsidR="0094589E" w:rsidRPr="00873648" w:rsidRDefault="0094589E" w:rsidP="0094589E">
      <w:pPr>
        <w:pStyle w:val="Transcrio"/>
        <w:rPr>
          <w:sz w:val="28"/>
          <w:szCs w:val="28"/>
        </w:rPr>
      </w:pPr>
      <w:r w:rsidRPr="00873648">
        <w:rPr>
          <w:sz w:val="28"/>
          <w:szCs w:val="28"/>
        </w:rPr>
        <w:t xml:space="preserve">por votação unânime, </w:t>
      </w:r>
      <w:r w:rsidRPr="00873648">
        <w:rPr>
          <w:b/>
          <w:sz w:val="28"/>
          <w:szCs w:val="28"/>
        </w:rPr>
        <w:t>deferiu</w:t>
      </w:r>
      <w:r w:rsidRPr="00873648">
        <w:rPr>
          <w:sz w:val="28"/>
          <w:szCs w:val="28"/>
        </w:rPr>
        <w:t xml:space="preserve">, com restrição, </w:t>
      </w:r>
      <w:r w:rsidRPr="00873648">
        <w:rPr>
          <w:b/>
          <w:sz w:val="28"/>
          <w:szCs w:val="28"/>
        </w:rPr>
        <w:t xml:space="preserve">o pedido </w:t>
      </w:r>
      <w:proofErr w:type="spellStart"/>
      <w:r w:rsidRPr="00873648">
        <w:rPr>
          <w:sz w:val="28"/>
          <w:szCs w:val="28"/>
        </w:rPr>
        <w:t>extradicional</w:t>
      </w:r>
      <w:proofErr w:type="spellEnd"/>
      <w:r w:rsidRPr="00873648">
        <w:rPr>
          <w:sz w:val="28"/>
          <w:szCs w:val="28"/>
        </w:rPr>
        <w:t xml:space="preserve">, </w:t>
      </w:r>
      <w:r w:rsidRPr="00873648">
        <w:rPr>
          <w:b/>
          <w:sz w:val="28"/>
          <w:szCs w:val="28"/>
        </w:rPr>
        <w:t xml:space="preserve">em ordem a autorizar a extradição </w:t>
      </w:r>
      <w:r w:rsidRPr="00873648">
        <w:rPr>
          <w:sz w:val="28"/>
          <w:szCs w:val="28"/>
        </w:rPr>
        <w:t xml:space="preserve">do súdito estrangeiro em causa </w:t>
      </w:r>
      <w:r w:rsidRPr="00873648">
        <w:rPr>
          <w:b/>
          <w:sz w:val="28"/>
          <w:szCs w:val="28"/>
        </w:rPr>
        <w:t xml:space="preserve">pelos delitos </w:t>
      </w:r>
      <w:r w:rsidRPr="00873648">
        <w:rPr>
          <w:sz w:val="28"/>
          <w:szCs w:val="28"/>
        </w:rPr>
        <w:t xml:space="preserve">que lhe estão sendo imputados, </w:t>
      </w:r>
      <w:r w:rsidRPr="00873648">
        <w:rPr>
          <w:b/>
          <w:sz w:val="28"/>
          <w:szCs w:val="28"/>
        </w:rPr>
        <w:t xml:space="preserve">desde </w:t>
      </w:r>
      <w:r w:rsidRPr="00873648">
        <w:rPr>
          <w:sz w:val="28"/>
          <w:szCs w:val="28"/>
        </w:rPr>
        <w:t xml:space="preserve">que o Estado requerente </w:t>
      </w:r>
      <w:r w:rsidRPr="00873648">
        <w:rPr>
          <w:b/>
          <w:sz w:val="28"/>
          <w:szCs w:val="28"/>
        </w:rPr>
        <w:t xml:space="preserve">assuma, </w:t>
      </w:r>
      <w:r w:rsidRPr="00873648">
        <w:rPr>
          <w:sz w:val="28"/>
          <w:szCs w:val="28"/>
        </w:rPr>
        <w:t xml:space="preserve">em caráter formal, </w:t>
      </w:r>
      <w:r w:rsidRPr="00873648">
        <w:rPr>
          <w:b/>
          <w:sz w:val="28"/>
          <w:szCs w:val="28"/>
        </w:rPr>
        <w:t>perante</w:t>
      </w:r>
      <w:r w:rsidRPr="00873648">
        <w:rPr>
          <w:sz w:val="28"/>
          <w:szCs w:val="28"/>
        </w:rPr>
        <w:t xml:space="preserve"> o Governo brasileiro, </w:t>
      </w:r>
      <w:r w:rsidRPr="00873648">
        <w:rPr>
          <w:b/>
          <w:sz w:val="28"/>
          <w:szCs w:val="28"/>
        </w:rPr>
        <w:t xml:space="preserve">o compromisso </w:t>
      </w:r>
      <w:r w:rsidRPr="00873648">
        <w:rPr>
          <w:sz w:val="28"/>
          <w:szCs w:val="28"/>
        </w:rPr>
        <w:t>de não impor</w:t>
      </w:r>
      <w:r w:rsidRPr="00873648">
        <w:rPr>
          <w:b/>
          <w:sz w:val="28"/>
          <w:szCs w:val="28"/>
        </w:rPr>
        <w:t xml:space="preserve">, quanto </w:t>
      </w:r>
      <w:r w:rsidRPr="00873648">
        <w:rPr>
          <w:sz w:val="28"/>
          <w:szCs w:val="28"/>
        </w:rPr>
        <w:t xml:space="preserve">a todos os delitos, pena </w:t>
      </w:r>
      <w:r w:rsidRPr="00873648">
        <w:rPr>
          <w:b/>
          <w:sz w:val="28"/>
          <w:szCs w:val="28"/>
        </w:rPr>
        <w:t xml:space="preserve">privativa </w:t>
      </w:r>
      <w:r w:rsidRPr="00873648">
        <w:rPr>
          <w:sz w:val="28"/>
          <w:szCs w:val="28"/>
        </w:rPr>
        <w:t xml:space="preserve">de liberdade que, em seu cômputo global, </w:t>
      </w:r>
      <w:r w:rsidRPr="00873648">
        <w:rPr>
          <w:b/>
          <w:sz w:val="28"/>
          <w:szCs w:val="28"/>
        </w:rPr>
        <w:lastRenderedPageBreak/>
        <w:t xml:space="preserve">ultrapasse </w:t>
      </w:r>
      <w:r w:rsidRPr="00873648">
        <w:rPr>
          <w:sz w:val="28"/>
          <w:szCs w:val="28"/>
        </w:rPr>
        <w:t xml:space="preserve">o limite de 30 (trinta) anos de prisão </w:t>
      </w:r>
      <w:r w:rsidRPr="00873648">
        <w:rPr>
          <w:b/>
          <w:sz w:val="28"/>
          <w:szCs w:val="28"/>
        </w:rPr>
        <w:t>e de promover</w:t>
      </w:r>
      <w:r w:rsidRPr="00873648">
        <w:rPr>
          <w:sz w:val="28"/>
          <w:szCs w:val="28"/>
        </w:rPr>
        <w:t xml:space="preserve">, ainda, </w:t>
      </w:r>
      <w:r w:rsidRPr="00873648">
        <w:rPr>
          <w:b/>
          <w:sz w:val="28"/>
          <w:szCs w:val="28"/>
        </w:rPr>
        <w:t>a detração penal</w:t>
      </w:r>
      <w:r w:rsidRPr="00873648">
        <w:rPr>
          <w:sz w:val="28"/>
          <w:szCs w:val="28"/>
        </w:rPr>
        <w:t xml:space="preserve">, </w:t>
      </w:r>
      <w:r w:rsidRPr="00873648">
        <w:rPr>
          <w:b/>
          <w:sz w:val="28"/>
          <w:szCs w:val="28"/>
        </w:rPr>
        <w:t>considerado</w:t>
      </w:r>
      <w:r w:rsidRPr="00873648">
        <w:rPr>
          <w:sz w:val="28"/>
          <w:szCs w:val="28"/>
        </w:rPr>
        <w:t xml:space="preserve">, para tanto, </w:t>
      </w:r>
      <w:r w:rsidRPr="00873648">
        <w:rPr>
          <w:b/>
          <w:sz w:val="28"/>
          <w:szCs w:val="28"/>
        </w:rPr>
        <w:t xml:space="preserve">o período </w:t>
      </w:r>
      <w:r w:rsidRPr="00873648">
        <w:rPr>
          <w:sz w:val="28"/>
          <w:szCs w:val="28"/>
        </w:rPr>
        <w:t xml:space="preserve">de prisão cautelar a que ele esteve sujeito, em nosso País, unicamente por efeito deste processo </w:t>
      </w:r>
      <w:proofErr w:type="spellStart"/>
      <w:r w:rsidRPr="00873648">
        <w:rPr>
          <w:sz w:val="28"/>
          <w:szCs w:val="28"/>
        </w:rPr>
        <w:t>extradicional</w:t>
      </w:r>
      <w:proofErr w:type="spellEnd"/>
      <w:r w:rsidRPr="00873648">
        <w:rPr>
          <w:sz w:val="28"/>
          <w:szCs w:val="28"/>
        </w:rPr>
        <w:t xml:space="preserve"> [...].</w:t>
      </w:r>
    </w:p>
    <w:p w:rsidR="0094589E" w:rsidRPr="00873648" w:rsidRDefault="0094589E" w:rsidP="0094589E">
      <w:pPr>
        <w:pStyle w:val="Pargrafo"/>
        <w:spacing w:line="360" w:lineRule="exact"/>
        <w:ind w:firstLine="0"/>
        <w:rPr>
          <w:color w:val="000000"/>
          <w:sz w:val="28"/>
          <w:szCs w:val="28"/>
        </w:rPr>
      </w:pPr>
      <w:r w:rsidRPr="00873648">
        <w:rPr>
          <w:color w:val="000000"/>
          <w:sz w:val="28"/>
          <w:szCs w:val="28"/>
        </w:rPr>
        <w:t xml:space="preserve">(STF, </w:t>
      </w:r>
      <w:proofErr w:type="spellStart"/>
      <w:r w:rsidRPr="00873648">
        <w:rPr>
          <w:color w:val="000000"/>
          <w:sz w:val="28"/>
          <w:szCs w:val="28"/>
        </w:rPr>
        <w:t>Ext</w:t>
      </w:r>
      <w:proofErr w:type="spellEnd"/>
      <w:r w:rsidRPr="00873648">
        <w:rPr>
          <w:color w:val="000000"/>
          <w:sz w:val="28"/>
          <w:szCs w:val="28"/>
        </w:rPr>
        <w:t xml:space="preserve"> 1401, Rel. Min. CELSO DE MELLO, Segunda Turma, julgado em 08/03/2016, DJe-050 17-03-2016. Grifo original.)</w:t>
      </w:r>
    </w:p>
    <w:p w:rsidR="0094589E" w:rsidRPr="00873648" w:rsidRDefault="0094589E" w:rsidP="0094589E">
      <w:pPr>
        <w:pStyle w:val="Pargrafo"/>
        <w:spacing w:line="360" w:lineRule="exact"/>
        <w:ind w:firstLine="0"/>
        <w:rPr>
          <w:color w:val="000000"/>
          <w:sz w:val="28"/>
          <w:szCs w:val="28"/>
        </w:rPr>
      </w:pPr>
      <w:r w:rsidRPr="00873648">
        <w:rPr>
          <w:color w:val="000000"/>
          <w:sz w:val="28"/>
          <w:szCs w:val="28"/>
        </w:rPr>
        <w:tab/>
      </w:r>
      <w:r w:rsidRPr="00873648">
        <w:rPr>
          <w:color w:val="000000"/>
          <w:sz w:val="28"/>
          <w:szCs w:val="28"/>
        </w:rPr>
        <w:tab/>
        <w:t>Por identidade de razão, aqui, o interessado tem, em princípio, direito de que as autoridades da República Portuguesa sejam informadas, pelo DRCI/MJ, de que a condição dele de português nato impede o Brasil de oferecer reciprocidade em se tratando de brasileiro nato. CF, Art. 5º, LI. Para fazer valer esse direito, o interessado, como acima registrado, requereu ao DRCI/MJ que a sua atual condição de português nato impedia a formulação de compromisso de reciprocidade por parte do Brasil. O pedido foi indeferido. Em consequência, o interessado, por seus advogados, impetrou habeas corpus distribuído ao JF 10/DF, que, em decisão final, denegou a ordem.</w:t>
      </w:r>
    </w:p>
    <w:p w:rsidR="00524397" w:rsidRDefault="0094589E" w:rsidP="00524397">
      <w:pPr>
        <w:pStyle w:val="Pargrafo"/>
        <w:spacing w:line="360" w:lineRule="exact"/>
        <w:ind w:firstLine="0"/>
        <w:rPr>
          <w:sz w:val="28"/>
          <w:szCs w:val="28"/>
        </w:rPr>
      </w:pPr>
      <w:r w:rsidRPr="00873648">
        <w:rPr>
          <w:color w:val="000000"/>
          <w:sz w:val="28"/>
          <w:szCs w:val="28"/>
        </w:rPr>
        <w:tab/>
      </w:r>
      <w:r w:rsidRPr="00873648">
        <w:rPr>
          <w:color w:val="000000"/>
          <w:sz w:val="28"/>
          <w:szCs w:val="28"/>
        </w:rPr>
        <w:tab/>
        <w:t xml:space="preserve">Por outro lado, é inquestionável que a decisão do DRCI/MJ, pela qual foi indeferido o requerimento formulado pelo interessado, concernente apenas ao direito dele de que as autoridades do Estado Requerido sejam informadas da limitação constitucional à extradição de brasileiros natos, que interfere, diretamente, no compromisso de reciprocidade que deve ser assumido pelo Brasil, está sujeita ao escrutínio judicial. </w:t>
      </w:r>
      <w:r w:rsidR="00873648" w:rsidRPr="00873648">
        <w:rPr>
          <w:sz w:val="28"/>
          <w:szCs w:val="28"/>
        </w:rPr>
        <w:t xml:space="preserve">“O ato administrativo requer a observância, para sua validade, dos princípios da legalidade, impessoalidade, moralidade e eficiência, previstos no caput do art. 37 da Constituição Federal, bem como daqueles previstos no caput do art. 2º da Lei 9.784/99, dentre os quais os da finalidade, razoabilidade, motivação, segurança jurídica e interesse público.” (STJ, MS 16.616/DF, Rel. Ministro ARNALDO ESTEVES LIMA, </w:t>
      </w:r>
      <w:r w:rsidR="005A7933" w:rsidRPr="00873648">
        <w:rPr>
          <w:sz w:val="28"/>
          <w:szCs w:val="28"/>
        </w:rPr>
        <w:t>Primeira Seção</w:t>
      </w:r>
      <w:r w:rsidR="00873648" w:rsidRPr="00873648">
        <w:rPr>
          <w:sz w:val="28"/>
          <w:szCs w:val="28"/>
        </w:rPr>
        <w:t xml:space="preserve">, julgado em 13/03/2013, </w:t>
      </w:r>
      <w:proofErr w:type="spellStart"/>
      <w:r w:rsidR="00873648" w:rsidRPr="00873648">
        <w:rPr>
          <w:sz w:val="28"/>
          <w:szCs w:val="28"/>
        </w:rPr>
        <w:t>DJe</w:t>
      </w:r>
      <w:proofErr w:type="spellEnd"/>
      <w:r w:rsidR="00873648" w:rsidRPr="00873648">
        <w:rPr>
          <w:sz w:val="28"/>
          <w:szCs w:val="28"/>
        </w:rPr>
        <w:t xml:space="preserve"> 25/03/2013.) No presente caso, a recusa do DRCI/MJ em informar ao Estado Requerido a limitação contida no Art. 5º, LI, da CF, é, em princípio, ilegal, porquanto, olvida, de forma solene, a aludida limitação constitucional, em detrimento do padrão </w:t>
      </w:r>
      <w:r w:rsidR="00732A21" w:rsidRPr="00873648">
        <w:rPr>
          <w:sz w:val="28"/>
          <w:szCs w:val="28"/>
        </w:rPr>
        <w:t xml:space="preserve">devido </w:t>
      </w:r>
      <w:r w:rsidR="00873648" w:rsidRPr="00873648">
        <w:rPr>
          <w:sz w:val="28"/>
          <w:szCs w:val="28"/>
        </w:rPr>
        <w:t>de respeito</w:t>
      </w:r>
      <w:r w:rsidR="00D971BC">
        <w:rPr>
          <w:sz w:val="28"/>
          <w:szCs w:val="28"/>
        </w:rPr>
        <w:t>, de boa-fé</w:t>
      </w:r>
      <w:r w:rsidR="00873648" w:rsidRPr="00873648">
        <w:rPr>
          <w:sz w:val="28"/>
          <w:szCs w:val="28"/>
        </w:rPr>
        <w:t xml:space="preserve"> e de confiança entre nações estrangeiras, </w:t>
      </w:r>
      <w:r w:rsidR="008E3830">
        <w:rPr>
          <w:sz w:val="28"/>
          <w:szCs w:val="28"/>
        </w:rPr>
        <w:t>inclusive</w:t>
      </w:r>
      <w:r w:rsidR="00873648" w:rsidRPr="00873648">
        <w:rPr>
          <w:sz w:val="28"/>
          <w:szCs w:val="28"/>
        </w:rPr>
        <w:t xml:space="preserve"> nos assuntos relacionados à extradição. </w:t>
      </w:r>
    </w:p>
    <w:p w:rsidR="00873648" w:rsidRPr="00873648" w:rsidRDefault="00524397" w:rsidP="00524397">
      <w:pPr>
        <w:pStyle w:val="Pargrafo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3648" w:rsidRPr="00873648">
        <w:rPr>
          <w:sz w:val="28"/>
          <w:szCs w:val="28"/>
        </w:rPr>
        <w:t xml:space="preserve">Em princípio, inexiste discricionariedade na ação estatal quando ela tem o potencial para implicar a restrição de direito individual de terceiro. O agente estatal somente atua legitimamente quando observa os estritos limites legais. Ainda se encontra mantida “a dicotomia (critério também típico do racionalismo) </w:t>
      </w:r>
      <w:r w:rsidR="00873648" w:rsidRPr="00873648">
        <w:rPr>
          <w:i/>
          <w:sz w:val="28"/>
          <w:szCs w:val="28"/>
        </w:rPr>
        <w:t>mérito</w:t>
      </w:r>
      <w:r w:rsidR="00873648" w:rsidRPr="00873648">
        <w:rPr>
          <w:sz w:val="28"/>
          <w:szCs w:val="28"/>
        </w:rPr>
        <w:t xml:space="preserve"> (em simetria com </w:t>
      </w:r>
      <w:r w:rsidR="00873648" w:rsidRPr="00873648">
        <w:rPr>
          <w:i/>
          <w:sz w:val="28"/>
          <w:szCs w:val="28"/>
        </w:rPr>
        <w:t>discricionariedade</w:t>
      </w:r>
      <w:r w:rsidR="00873648" w:rsidRPr="00873648">
        <w:rPr>
          <w:sz w:val="28"/>
          <w:szCs w:val="28"/>
        </w:rPr>
        <w:t xml:space="preserve">) e </w:t>
      </w:r>
      <w:r w:rsidR="00873648" w:rsidRPr="00873648">
        <w:rPr>
          <w:i/>
          <w:sz w:val="28"/>
          <w:szCs w:val="28"/>
        </w:rPr>
        <w:t>legalidade</w:t>
      </w:r>
      <w:r w:rsidR="00873648" w:rsidRPr="00873648">
        <w:rPr>
          <w:sz w:val="28"/>
          <w:szCs w:val="28"/>
        </w:rPr>
        <w:t xml:space="preserve"> (noção simétrica a </w:t>
      </w:r>
      <w:r w:rsidR="00873648" w:rsidRPr="00873648">
        <w:rPr>
          <w:i/>
          <w:sz w:val="28"/>
          <w:szCs w:val="28"/>
        </w:rPr>
        <w:t>vinculação</w:t>
      </w:r>
      <w:r w:rsidR="00873648" w:rsidRPr="00873648">
        <w:rPr>
          <w:sz w:val="28"/>
          <w:szCs w:val="28"/>
        </w:rPr>
        <w:t xml:space="preserve">), diante da ciosa preocupação de só admitir o </w:t>
      </w:r>
      <w:r w:rsidR="00873648" w:rsidRPr="00873648">
        <w:rPr>
          <w:sz w:val="28"/>
          <w:szCs w:val="28"/>
        </w:rPr>
        <w:lastRenderedPageBreak/>
        <w:t>controle judicial da legalidade”.</w:t>
      </w:r>
      <w:r w:rsidR="00873648" w:rsidRPr="00873648">
        <w:rPr>
          <w:rStyle w:val="FootnoteReference"/>
          <w:rFonts w:cs="Arial"/>
          <w:sz w:val="28"/>
          <w:szCs w:val="28"/>
        </w:rPr>
        <w:footnoteReference w:id="4"/>
      </w:r>
      <w:r w:rsidR="00873648" w:rsidRPr="00873648">
        <w:rPr>
          <w:sz w:val="28"/>
          <w:szCs w:val="28"/>
        </w:rPr>
        <w:t xml:space="preserve"> Em Direito Público (Direito Administrativo) vigora o princípio constitucional da legalidade (CF, Art. 37, </w:t>
      </w:r>
      <w:r w:rsidR="00873648" w:rsidRPr="00873648">
        <w:rPr>
          <w:i/>
          <w:sz w:val="28"/>
          <w:szCs w:val="28"/>
        </w:rPr>
        <w:t>caput</w:t>
      </w:r>
      <w:r w:rsidR="00873648" w:rsidRPr="00873648">
        <w:rPr>
          <w:sz w:val="28"/>
          <w:szCs w:val="28"/>
        </w:rPr>
        <w:t>), pelo qual a Administração Pública somente está autorizada a proceder de conformidade com o preceituado em lei. Nas relações de direito privado é que vigora o princípio de que “o que não está proibido, está permitido”. Há muito, HELY LOPES MEIRELLES ensinava que</w:t>
      </w:r>
      <w:r w:rsidR="005A7933">
        <w:rPr>
          <w:sz w:val="28"/>
          <w:szCs w:val="28"/>
        </w:rPr>
        <w:t>:</w:t>
      </w:r>
    </w:p>
    <w:p w:rsidR="00873648" w:rsidRPr="00873648" w:rsidRDefault="00873648" w:rsidP="00873648">
      <w:pPr>
        <w:pStyle w:val="Transcrio"/>
        <w:rPr>
          <w:rFonts w:cs="Arial"/>
          <w:iCs/>
          <w:sz w:val="28"/>
          <w:szCs w:val="28"/>
        </w:rPr>
      </w:pPr>
      <w:r w:rsidRPr="00873648">
        <w:rPr>
          <w:rFonts w:cs="Arial"/>
          <w:iCs/>
          <w:sz w:val="28"/>
          <w:szCs w:val="28"/>
        </w:rPr>
        <w:t>Na Administração Pública não há liberdade nem vontade pessoal. Enquanto na administração particular é lícito fazer tudo que a lei não proíbe, na Administração Pública só é permitido fazer o que a lei autoriza. A lei para o particular significa “pode fazer assim”; para o administrador público significa “deve fazer assim”.</w:t>
      </w:r>
      <w:r w:rsidRPr="00873648">
        <w:rPr>
          <w:rStyle w:val="FootnoteReference"/>
          <w:rFonts w:cs="Arial"/>
          <w:iCs/>
          <w:sz w:val="28"/>
          <w:szCs w:val="28"/>
        </w:rPr>
        <w:footnoteReference w:id="5"/>
      </w:r>
      <w:r w:rsidRPr="00873648">
        <w:rPr>
          <w:rFonts w:cs="Arial"/>
          <w:iCs/>
          <w:sz w:val="28"/>
          <w:szCs w:val="28"/>
        </w:rPr>
        <w:t xml:space="preserve"> </w:t>
      </w:r>
    </w:p>
    <w:p w:rsidR="00873648" w:rsidRPr="00873648" w:rsidRDefault="00873648" w:rsidP="00873648">
      <w:pPr>
        <w:pStyle w:val="Pargrafo"/>
        <w:rPr>
          <w:sz w:val="28"/>
          <w:szCs w:val="28"/>
        </w:rPr>
      </w:pPr>
      <w:r w:rsidRPr="00873648">
        <w:rPr>
          <w:sz w:val="28"/>
          <w:szCs w:val="28"/>
        </w:rPr>
        <w:t xml:space="preserve">E, nos termos da sentença de MICHEL STASSINOPOULOS, a Administração Pública não apenas está proibida de agir </w:t>
      </w:r>
      <w:r w:rsidRPr="00873648">
        <w:rPr>
          <w:i/>
          <w:sz w:val="28"/>
          <w:szCs w:val="28"/>
        </w:rPr>
        <w:t xml:space="preserve">contra </w:t>
      </w:r>
      <w:proofErr w:type="spellStart"/>
      <w:r w:rsidRPr="00873648">
        <w:rPr>
          <w:i/>
          <w:sz w:val="28"/>
          <w:szCs w:val="28"/>
        </w:rPr>
        <w:t>legem</w:t>
      </w:r>
      <w:proofErr w:type="spellEnd"/>
      <w:r w:rsidRPr="00873648">
        <w:rPr>
          <w:sz w:val="28"/>
          <w:szCs w:val="28"/>
        </w:rPr>
        <w:t xml:space="preserve"> ou </w:t>
      </w:r>
      <w:r w:rsidRPr="00873648">
        <w:rPr>
          <w:i/>
          <w:sz w:val="28"/>
          <w:szCs w:val="28"/>
        </w:rPr>
        <w:t xml:space="preserve">extra </w:t>
      </w:r>
      <w:proofErr w:type="spellStart"/>
      <w:r w:rsidRPr="00873648">
        <w:rPr>
          <w:i/>
          <w:sz w:val="28"/>
          <w:szCs w:val="28"/>
        </w:rPr>
        <w:t>legem</w:t>
      </w:r>
      <w:proofErr w:type="spellEnd"/>
      <w:r w:rsidRPr="00873648">
        <w:rPr>
          <w:sz w:val="28"/>
          <w:szCs w:val="28"/>
        </w:rPr>
        <w:t xml:space="preserve">, senão que somente pode atuar </w:t>
      </w:r>
      <w:proofErr w:type="spellStart"/>
      <w:r w:rsidRPr="00873648">
        <w:rPr>
          <w:i/>
          <w:sz w:val="28"/>
          <w:szCs w:val="28"/>
        </w:rPr>
        <w:t>secundum</w:t>
      </w:r>
      <w:proofErr w:type="spellEnd"/>
      <w:r w:rsidRPr="00873648">
        <w:rPr>
          <w:i/>
          <w:sz w:val="28"/>
          <w:szCs w:val="28"/>
        </w:rPr>
        <w:t xml:space="preserve"> </w:t>
      </w:r>
      <w:proofErr w:type="spellStart"/>
      <w:r w:rsidRPr="00873648">
        <w:rPr>
          <w:i/>
          <w:sz w:val="28"/>
          <w:szCs w:val="28"/>
        </w:rPr>
        <w:t>legem</w:t>
      </w:r>
      <w:proofErr w:type="spellEnd"/>
      <w:r w:rsidRPr="00873648">
        <w:rPr>
          <w:sz w:val="28"/>
          <w:szCs w:val="28"/>
        </w:rPr>
        <w:t>.</w:t>
      </w:r>
      <w:r w:rsidRPr="00873648">
        <w:rPr>
          <w:rStyle w:val="FootnoteReference"/>
          <w:rFonts w:cs="Arial"/>
          <w:sz w:val="28"/>
          <w:szCs w:val="28"/>
        </w:rPr>
        <w:footnoteReference w:id="6"/>
      </w:r>
      <w:r w:rsidRPr="00873648">
        <w:rPr>
          <w:sz w:val="28"/>
          <w:szCs w:val="28"/>
        </w:rPr>
        <w:t xml:space="preserve"> A esse respeito, ainda, MIGUEL SEABRA FAGUNDES, de forma incisiva, ensinava que</w:t>
      </w:r>
    </w:p>
    <w:p w:rsidR="00873648" w:rsidRPr="00873648" w:rsidRDefault="00873648" w:rsidP="00873648">
      <w:pPr>
        <w:pStyle w:val="Transcrio"/>
        <w:rPr>
          <w:rFonts w:cs="Arial"/>
          <w:iCs/>
          <w:sz w:val="28"/>
          <w:szCs w:val="28"/>
        </w:rPr>
      </w:pPr>
      <w:r w:rsidRPr="00873648">
        <w:rPr>
          <w:rFonts w:cs="Arial"/>
          <w:iCs/>
          <w:sz w:val="28"/>
          <w:szCs w:val="28"/>
        </w:rPr>
        <w:t xml:space="preserve">Todas as atividades da Administração Pública são limitadas pela subordinação à ordem jurídica, ou seja, à legalidade. O procedimento administrativo não tem existência jurídica se lhe falta, como fonte primária, um texto de lei. Mas não basta que tenha sempre por fonte a lei. É preciso ainda, que se exerça segundo a orientação dela e dentro dos limites nela traçados. Só assim o procedimento da Administração é legítimo. Qualquer medida que tome o Poder Administrativo, em face de determinada situação individual, sem preceito de lei que o autorize, ou excedendo o âmbito da lei, será injurídica. Essa integral submissão da Administração Pública à lei, constitui o denominado princípio da legalidade, aceito universalmente, e é uma </w:t>
      </w:r>
      <w:proofErr w:type="spellStart"/>
      <w:r w:rsidRPr="00873648">
        <w:rPr>
          <w:rFonts w:cs="Arial"/>
          <w:iCs/>
          <w:sz w:val="28"/>
          <w:szCs w:val="28"/>
        </w:rPr>
        <w:t>conseqüência</w:t>
      </w:r>
      <w:proofErr w:type="spellEnd"/>
      <w:r w:rsidRPr="00873648">
        <w:rPr>
          <w:rFonts w:cs="Arial"/>
          <w:iCs/>
          <w:sz w:val="28"/>
          <w:szCs w:val="28"/>
        </w:rPr>
        <w:t xml:space="preserve"> do sistema de legislação escrita e da própria natureza da função administrativa.</w:t>
      </w:r>
      <w:r w:rsidRPr="00873648">
        <w:rPr>
          <w:rStyle w:val="FootnoteReference"/>
          <w:rFonts w:cs="Arial"/>
          <w:iCs/>
          <w:sz w:val="28"/>
          <w:szCs w:val="28"/>
        </w:rPr>
        <w:footnoteReference w:id="7"/>
      </w:r>
      <w:r w:rsidRPr="00873648">
        <w:rPr>
          <w:rFonts w:cs="Arial"/>
          <w:iCs/>
          <w:sz w:val="28"/>
          <w:szCs w:val="28"/>
        </w:rPr>
        <w:t xml:space="preserve"> </w:t>
      </w:r>
    </w:p>
    <w:p w:rsidR="00873648" w:rsidRPr="00873648" w:rsidRDefault="00873648" w:rsidP="0094589E">
      <w:pPr>
        <w:pStyle w:val="Pargrafo"/>
        <w:spacing w:line="360" w:lineRule="exact"/>
        <w:ind w:firstLine="0"/>
        <w:rPr>
          <w:sz w:val="28"/>
          <w:szCs w:val="28"/>
        </w:rPr>
      </w:pPr>
      <w:r w:rsidRPr="00873648">
        <w:rPr>
          <w:sz w:val="28"/>
          <w:szCs w:val="28"/>
        </w:rPr>
        <w:t xml:space="preserve">Na realidade, “[t]odos os agentes estatais estão submetidos aos limites que a ordem jurídica lhes impõe, não havendo situação que possa isentar qualquer </w:t>
      </w:r>
      <w:r w:rsidRPr="00873648">
        <w:rPr>
          <w:sz w:val="28"/>
          <w:szCs w:val="28"/>
        </w:rPr>
        <w:lastRenderedPageBreak/>
        <w:t>deles de tal subordinação”.</w:t>
      </w:r>
      <w:r w:rsidRPr="00873648">
        <w:rPr>
          <w:rStyle w:val="FootnoteReference"/>
          <w:rFonts w:cs="Arial"/>
          <w:sz w:val="28"/>
          <w:szCs w:val="28"/>
        </w:rPr>
        <w:footnoteReference w:id="8"/>
      </w:r>
      <w:r w:rsidRPr="00873648">
        <w:rPr>
          <w:sz w:val="28"/>
          <w:szCs w:val="28"/>
        </w:rPr>
        <w:t xml:space="preserve"> Em suma,  “[a] obediência ao princípio da legalidade é conduta que devem ter, permanentemente, os que defendem a sobrevivência do regime democrático.”</w:t>
      </w:r>
      <w:r w:rsidRPr="00873648">
        <w:rPr>
          <w:rStyle w:val="FootnoteReference"/>
          <w:rFonts w:cs="Arial"/>
          <w:sz w:val="28"/>
          <w:szCs w:val="28"/>
        </w:rPr>
        <w:footnoteReference w:id="9"/>
      </w:r>
    </w:p>
    <w:p w:rsidR="0094589E" w:rsidRDefault="00873648" w:rsidP="0094589E">
      <w:pPr>
        <w:pStyle w:val="Pargrafo"/>
        <w:spacing w:line="360" w:lineRule="exact"/>
        <w:ind w:firstLine="0"/>
        <w:rPr>
          <w:sz w:val="28"/>
          <w:szCs w:val="28"/>
        </w:rPr>
      </w:pPr>
      <w:r w:rsidRPr="00873648">
        <w:rPr>
          <w:sz w:val="28"/>
          <w:szCs w:val="28"/>
        </w:rPr>
        <w:tab/>
      </w:r>
      <w:r w:rsidRPr="00873648">
        <w:rPr>
          <w:sz w:val="28"/>
          <w:szCs w:val="28"/>
        </w:rPr>
        <w:tab/>
        <w:t>Em consequência, é indubitável a competência desta Corte para conhecer do pedido formulado em favor do interessado no HC TRF1.</w:t>
      </w:r>
    </w:p>
    <w:p w:rsidR="00623A96" w:rsidRPr="00873648" w:rsidRDefault="00623A96" w:rsidP="0094589E">
      <w:pPr>
        <w:pStyle w:val="Pargrafo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Ressaltamos, ainda, que a defesa do interessado, no que é do nosso conhecimento, não ocultou desta Corte, ao contrário do cogitado pelo Juízo Suscitado, nenhuma informação relevante à apreciação do HC TRF1.</w:t>
      </w:r>
      <w:r w:rsidR="00524397">
        <w:rPr>
          <w:sz w:val="28"/>
          <w:szCs w:val="28"/>
        </w:rPr>
        <w:t xml:space="preserve"> </w:t>
      </w:r>
    </w:p>
    <w:p w:rsidR="00524397" w:rsidRDefault="00822064" w:rsidP="00524397">
      <w:pPr>
        <w:pStyle w:val="Pargrafo"/>
        <w:spacing w:line="360" w:lineRule="exact"/>
        <w:rPr>
          <w:sz w:val="28"/>
          <w:szCs w:val="28"/>
        </w:rPr>
      </w:pPr>
      <w:r w:rsidRPr="00E42637">
        <w:rPr>
          <w:b/>
          <w:sz w:val="28"/>
          <w:szCs w:val="28"/>
        </w:rPr>
        <w:t>À vista do exposto</w:t>
      </w:r>
      <w:r w:rsidR="00524397">
        <w:rPr>
          <w:sz w:val="28"/>
          <w:szCs w:val="28"/>
        </w:rPr>
        <w:t xml:space="preserve">, temos a honra de suscitar o presente conflito, requerendo o seguinte: </w:t>
      </w:r>
    </w:p>
    <w:p w:rsidR="00524397" w:rsidRDefault="00524397" w:rsidP="00524397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a) preliminarmente, a designação do Juízo ou Tribunal competente</w:t>
      </w:r>
      <w:r w:rsidR="00D971BC">
        <w:rPr>
          <w:sz w:val="28"/>
          <w:szCs w:val="28"/>
        </w:rPr>
        <w:t>, para as decisões urgentes,</w:t>
      </w:r>
      <w:r>
        <w:rPr>
          <w:sz w:val="28"/>
          <w:szCs w:val="28"/>
        </w:rPr>
        <w:t xml:space="preserve"> enquanto essa colenda Corte decide o conflito; </w:t>
      </w:r>
    </w:p>
    <w:p w:rsidR="00524397" w:rsidRDefault="00524397" w:rsidP="00524397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b) a oitiva do Juízo Suscitado (JF 13/PR); </w:t>
      </w:r>
    </w:p>
    <w:p w:rsidR="00524397" w:rsidRDefault="00524397" w:rsidP="00524397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c) se for o caso, a oitiva do interessado, na pessoa de seus advogados, com endereço no rodapé da petição inicial do HC TRF1; </w:t>
      </w:r>
    </w:p>
    <w:p w:rsidR="000D543C" w:rsidRDefault="00524397" w:rsidP="00524397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d) a oitiva da Subprocuradoria-Geral da República; </w:t>
      </w:r>
    </w:p>
    <w:p w:rsidR="00822064" w:rsidRDefault="00524397" w:rsidP="00524397">
      <w:pPr>
        <w:pStyle w:val="Pargrafo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e) ao final o reconhecimento da competência desta Corte para processar e julgar o HC TRF1 e decidi-lo como entender de direito. </w:t>
      </w:r>
    </w:p>
    <w:p w:rsidR="00524397" w:rsidRPr="00873648" w:rsidRDefault="00524397" w:rsidP="00524397">
      <w:pPr>
        <w:pStyle w:val="Pargrafo"/>
        <w:spacing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2064" w:rsidRPr="00873648" w:rsidRDefault="00822064" w:rsidP="00822064">
      <w:pPr>
        <w:pStyle w:val="Pargrafo"/>
        <w:spacing w:line="360" w:lineRule="exact"/>
        <w:rPr>
          <w:sz w:val="28"/>
          <w:szCs w:val="28"/>
        </w:rPr>
      </w:pPr>
      <w:r w:rsidRPr="00873648">
        <w:rPr>
          <w:sz w:val="28"/>
          <w:szCs w:val="28"/>
        </w:rPr>
        <w:t>Publique-se.</w:t>
      </w:r>
    </w:p>
    <w:p w:rsidR="00822064" w:rsidRPr="00873648" w:rsidRDefault="00822064" w:rsidP="00822064">
      <w:pPr>
        <w:pStyle w:val="Pargrafo"/>
        <w:spacing w:line="360" w:lineRule="exact"/>
        <w:rPr>
          <w:sz w:val="28"/>
          <w:szCs w:val="28"/>
        </w:rPr>
      </w:pPr>
      <w:r w:rsidRPr="00873648">
        <w:rPr>
          <w:sz w:val="28"/>
          <w:szCs w:val="28"/>
        </w:rPr>
        <w:t>Brasília, 2</w:t>
      </w:r>
      <w:r w:rsidR="00524397">
        <w:rPr>
          <w:sz w:val="28"/>
          <w:szCs w:val="28"/>
        </w:rPr>
        <w:t>8</w:t>
      </w:r>
      <w:r w:rsidRPr="00873648">
        <w:rPr>
          <w:sz w:val="28"/>
          <w:szCs w:val="28"/>
        </w:rPr>
        <w:t xml:space="preserve"> de abril de 2018.</w:t>
      </w:r>
    </w:p>
    <w:p w:rsidR="00D971BC" w:rsidRPr="00873648" w:rsidRDefault="00D971BC" w:rsidP="00822064">
      <w:pPr>
        <w:pStyle w:val="Pargrafo"/>
        <w:spacing w:line="360" w:lineRule="exact"/>
        <w:rPr>
          <w:sz w:val="28"/>
          <w:szCs w:val="28"/>
        </w:rPr>
      </w:pPr>
    </w:p>
    <w:p w:rsidR="00822064" w:rsidRPr="00873648" w:rsidRDefault="00822064" w:rsidP="00822064">
      <w:pPr>
        <w:pStyle w:val="Pargrafo"/>
        <w:spacing w:line="360" w:lineRule="exact"/>
        <w:ind w:firstLine="0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 xml:space="preserve">       </w:t>
      </w:r>
      <w:r w:rsidRPr="00873648">
        <w:rPr>
          <w:rFonts w:cs="Arial"/>
          <w:sz w:val="28"/>
          <w:szCs w:val="28"/>
        </w:rPr>
        <w:tab/>
      </w:r>
      <w:r w:rsidRPr="00873648">
        <w:rPr>
          <w:rFonts w:cs="Arial"/>
          <w:sz w:val="28"/>
          <w:szCs w:val="28"/>
        </w:rPr>
        <w:tab/>
        <w:t xml:space="preserve">Juiz Federal </w:t>
      </w:r>
      <w:bookmarkStart w:id="0" w:name="_GoBack"/>
      <w:bookmarkEnd w:id="0"/>
      <w:r w:rsidRPr="00873648">
        <w:rPr>
          <w:rFonts w:cs="Arial"/>
          <w:sz w:val="28"/>
          <w:szCs w:val="28"/>
        </w:rPr>
        <w:t>LEÃO APARECIDO ALVES</w:t>
      </w:r>
    </w:p>
    <w:p w:rsidR="00822064" w:rsidRPr="00873648" w:rsidRDefault="00822064" w:rsidP="00822064">
      <w:pPr>
        <w:pStyle w:val="Pargrafo"/>
        <w:spacing w:line="360" w:lineRule="exact"/>
        <w:rPr>
          <w:rFonts w:cs="Arial"/>
          <w:sz w:val="28"/>
          <w:szCs w:val="28"/>
        </w:rPr>
      </w:pPr>
      <w:r w:rsidRPr="00873648">
        <w:rPr>
          <w:rFonts w:cs="Arial"/>
          <w:sz w:val="28"/>
          <w:szCs w:val="28"/>
        </w:rPr>
        <w:t xml:space="preserve">                   Relator Convocado</w:t>
      </w:r>
    </w:p>
    <w:sectPr w:rsidR="00822064" w:rsidRPr="00873648" w:rsidSect="004554A7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0" w:right="850" w:bottom="850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DA" w:rsidRDefault="00303FDA">
      <w:r>
        <w:separator/>
      </w:r>
    </w:p>
  </w:endnote>
  <w:endnote w:type="continuationSeparator" w:id="0">
    <w:p w:rsidR="00303FDA" w:rsidRDefault="0030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59"/>
    <w:family w:val="auto"/>
    <w:pitch w:val="variable"/>
    <w:sig w:usb0="E1002AFF" w:usb1="C000605B" w:usb2="00000029" w:usb3="00000000" w:csb0="000101FF" w:csb1="00000000"/>
  </w:font>
  <w:font w:name="Consolas">
    <w:charset w:val="00"/>
    <w:family w:val="modern"/>
    <w:pitch w:val="fixed"/>
    <w:sig w:usb0="E00002FF" w:usb1="0000FCFF" w:usb2="00000001" w:usb3="00000000" w:csb0="0000019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10" w:rsidRDefault="00413610">
    <w:pPr>
      <w:tabs>
        <w:tab w:val="right" w:pos="9360"/>
      </w:tabs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6E5A19">
      <w:rPr>
        <w:rFonts w:ascii="Arial" w:hAnsi="Arial"/>
        <w:sz w:val="10"/>
      </w:rPr>
      <w:fldChar w:fldCharType="begin"/>
    </w:r>
    <w:r>
      <w:rPr>
        <w:rFonts w:ascii="Arial" w:hAnsi="Arial"/>
        <w:sz w:val="10"/>
      </w:rPr>
      <w:instrText xml:space="preserve"> FILENAME \p </w:instrText>
    </w:r>
    <w:r w:rsidR="006E5A19">
      <w:rPr>
        <w:rFonts w:ascii="Arial" w:hAnsi="Arial"/>
        <w:sz w:val="10"/>
      </w:rPr>
      <w:fldChar w:fldCharType="separate"/>
    </w:r>
    <w:r w:rsidR="00303FDA">
      <w:rPr>
        <w:rFonts w:ascii="Arial" w:hAnsi="Arial"/>
        <w:noProof/>
        <w:sz w:val="10"/>
      </w:rPr>
      <w:t>Documento2</w:t>
    </w:r>
    <w:r w:rsidR="006E5A19">
      <w:rPr>
        <w:rFonts w:ascii="Arial" w:hAnsi="Arial"/>
        <w:sz w:val="1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10" w:rsidRDefault="00413610">
    <w:pPr>
      <w:tabs>
        <w:tab w:val="right" w:pos="9360"/>
      </w:tabs>
      <w:rPr>
        <w:rFonts w:ascii="Arial" w:hAnsi="Arial"/>
        <w:sz w:val="13"/>
      </w:rPr>
    </w:pPr>
    <w:r>
      <w:rPr>
        <w:rFonts w:ascii="Arial" w:hAnsi="Arial"/>
        <w:sz w:val="10"/>
      </w:rPr>
      <w:t>TRF 1ª REGIÃO/IMP.15-02-05</w:t>
    </w:r>
    <w:r>
      <w:rPr>
        <w:rFonts w:ascii="Arial" w:hAnsi="Arial"/>
        <w:sz w:val="10"/>
      </w:rPr>
      <w:tab/>
    </w:r>
    <w:r w:rsidR="006E5A19">
      <w:rPr>
        <w:rFonts w:ascii="Arial" w:hAnsi="Arial"/>
        <w:sz w:val="13"/>
      </w:rPr>
      <w:fldChar w:fldCharType="begin"/>
    </w:r>
    <w:r>
      <w:rPr>
        <w:rFonts w:ascii="Arial" w:hAnsi="Arial"/>
        <w:sz w:val="13"/>
      </w:rPr>
      <w:instrText xml:space="preserve"> FILENAME \p </w:instrText>
    </w:r>
    <w:r w:rsidR="006E5A19">
      <w:rPr>
        <w:rFonts w:ascii="Arial" w:hAnsi="Arial"/>
        <w:sz w:val="13"/>
      </w:rPr>
      <w:fldChar w:fldCharType="separate"/>
    </w:r>
    <w:r w:rsidR="00303FDA">
      <w:rPr>
        <w:rFonts w:ascii="Arial" w:hAnsi="Arial"/>
        <w:noProof/>
        <w:sz w:val="13"/>
      </w:rPr>
      <w:t>Documento2</w:t>
    </w:r>
    <w:r w:rsidR="006E5A19">
      <w:rPr>
        <w:rFonts w:ascii="Arial" w:hAnsi="Arial"/>
        <w:sz w:val="13"/>
      </w:rPr>
      <w:fldChar w:fldCharType="end"/>
    </w:r>
  </w:p>
  <w:p w:rsidR="00413610" w:rsidRDefault="00413610">
    <w:pPr>
      <w:tabs>
        <w:tab w:val="right" w:pos="9360"/>
      </w:tabs>
      <w:rPr>
        <w:sz w:val="13"/>
      </w:rPr>
    </w:pPr>
    <w:r>
      <w:rPr>
        <w:rFonts w:ascii="Arial" w:hAnsi="Arial"/>
        <w:sz w:val="13"/>
      </w:rPr>
      <w:t xml:space="preserve">Criado por </w:t>
    </w:r>
    <w:r w:rsidR="006E5A19">
      <w:rPr>
        <w:rFonts w:ascii="Arial" w:hAnsi="Arial"/>
        <w:sz w:val="13"/>
      </w:rPr>
      <w:fldChar w:fldCharType="begin"/>
    </w:r>
    <w:r>
      <w:rPr>
        <w:rFonts w:ascii="Arial" w:hAnsi="Arial"/>
        <w:sz w:val="13"/>
      </w:rPr>
      <w:instrText xml:space="preserve"> AUTHOR </w:instrText>
    </w:r>
    <w:r w:rsidR="006E5A19">
      <w:rPr>
        <w:rFonts w:ascii="Arial" w:hAnsi="Arial"/>
        <w:sz w:val="13"/>
      </w:rPr>
      <w:fldChar w:fldCharType="separate"/>
    </w:r>
    <w:r w:rsidR="00303FDA">
      <w:rPr>
        <w:rFonts w:ascii="Arial" w:hAnsi="Arial"/>
        <w:noProof/>
        <w:sz w:val="13"/>
      </w:rPr>
      <w:t>ju106</w:t>
    </w:r>
    <w:r w:rsidR="006E5A19">
      <w:rPr>
        <w:rFonts w:ascii="Arial" w:hAnsi="Arial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DA" w:rsidRDefault="00303FDA">
      <w:r>
        <w:separator/>
      </w:r>
    </w:p>
  </w:footnote>
  <w:footnote w:type="continuationSeparator" w:id="0">
    <w:p w:rsidR="00303FDA" w:rsidRDefault="00303FDA">
      <w:r>
        <w:continuationSeparator/>
      </w:r>
    </w:p>
  </w:footnote>
  <w:footnote w:id="1">
    <w:p w:rsidR="001205CC" w:rsidRDefault="001205CC">
      <w:pPr>
        <w:pStyle w:val="FootnoteText"/>
      </w:pPr>
      <w:r>
        <w:rPr>
          <w:rStyle w:val="FootnoteReference"/>
        </w:rPr>
        <w:footnoteRef/>
      </w:r>
      <w:r>
        <w:t xml:space="preserve"> MAZZUOLI, </w:t>
      </w:r>
      <w:proofErr w:type="spellStart"/>
      <w:r>
        <w:t>Valerio</w:t>
      </w:r>
      <w:proofErr w:type="spellEnd"/>
      <w:r>
        <w:t xml:space="preserve"> de Oliveira. </w:t>
      </w:r>
      <w:r w:rsidRPr="001205CC">
        <w:rPr>
          <w:b/>
        </w:rPr>
        <w:t>Curso de direito internacional público</w:t>
      </w:r>
      <w:r>
        <w:t xml:space="preserve">. – 9. ed. rev. atual. e </w:t>
      </w:r>
      <w:proofErr w:type="spellStart"/>
      <w:r>
        <w:t>ampl</w:t>
      </w:r>
      <w:proofErr w:type="spellEnd"/>
      <w:r>
        <w:t>. – São Paulo: Editora Revista dos Tribunais, 2015, p. 806.</w:t>
      </w:r>
    </w:p>
  </w:footnote>
  <w:footnote w:id="2">
    <w:p w:rsidR="0060230F" w:rsidRDefault="0060230F">
      <w:pPr>
        <w:pStyle w:val="FootnoteText"/>
      </w:pPr>
      <w:r>
        <w:rPr>
          <w:rStyle w:val="FootnoteReference"/>
        </w:rPr>
        <w:footnoteRef/>
      </w:r>
      <w:r>
        <w:t xml:space="preserve"> Excerto da petição inicial do HC TRF1, p. 2</w:t>
      </w:r>
      <w:r w:rsidR="00A313DC">
        <w:t>, item 4</w:t>
      </w:r>
      <w:r>
        <w:t>.</w:t>
      </w:r>
    </w:p>
  </w:footnote>
  <w:footnote w:id="3">
    <w:p w:rsidR="00A313DC" w:rsidRDefault="00A313DC">
      <w:pPr>
        <w:pStyle w:val="FootnoteText"/>
      </w:pPr>
      <w:r>
        <w:rPr>
          <w:rStyle w:val="FootnoteReference"/>
        </w:rPr>
        <w:footnoteRef/>
      </w:r>
      <w:r>
        <w:t xml:space="preserve"> Excerto da petição inicial do HC TRF1, p. 3, item 10.</w:t>
      </w:r>
    </w:p>
  </w:footnote>
  <w:footnote w:id="4">
    <w:p w:rsidR="00873648" w:rsidRPr="00EB0DF8" w:rsidRDefault="00873648" w:rsidP="00873648">
      <w:pPr>
        <w:pStyle w:val="FootnoteText"/>
        <w:rPr>
          <w:rFonts w:cs="Arial"/>
          <w:sz w:val="20"/>
        </w:rPr>
      </w:pPr>
      <w:r w:rsidRPr="00EB0DF8">
        <w:rPr>
          <w:rStyle w:val="FootnoteReference"/>
          <w:rFonts w:cs="Arial"/>
          <w:sz w:val="20"/>
        </w:rPr>
        <w:footnoteRef/>
      </w:r>
      <w:r w:rsidRPr="00EB0DF8">
        <w:rPr>
          <w:rFonts w:cs="Arial"/>
          <w:sz w:val="20"/>
        </w:rPr>
        <w:t xml:space="preserve"> MOREIRA, João Batista Gomes. </w:t>
      </w:r>
      <w:r w:rsidRPr="00EB0DF8">
        <w:rPr>
          <w:rFonts w:cs="Arial"/>
          <w:b/>
          <w:sz w:val="20"/>
        </w:rPr>
        <w:t>Direito administrativo: da rigidez autoritária à flexibilidade democrática</w:t>
      </w:r>
      <w:r w:rsidRPr="00EB0DF8">
        <w:rPr>
          <w:rFonts w:cs="Arial"/>
          <w:sz w:val="20"/>
        </w:rPr>
        <w:t xml:space="preserve">. </w:t>
      </w:r>
      <w:r w:rsidRPr="00EB0DF8">
        <w:rPr>
          <w:rFonts w:cs="Arial"/>
          <w:sz w:val="20"/>
          <w:lang w:val="en-US"/>
        </w:rPr>
        <w:t xml:space="preserve">2. ed. rev. </w:t>
      </w:r>
      <w:proofErr w:type="spellStart"/>
      <w:r w:rsidRPr="00EB0DF8">
        <w:rPr>
          <w:rFonts w:cs="Arial"/>
          <w:sz w:val="20"/>
          <w:lang w:val="en-US"/>
        </w:rPr>
        <w:t>atual</w:t>
      </w:r>
      <w:proofErr w:type="spellEnd"/>
      <w:r w:rsidRPr="00EB0DF8">
        <w:rPr>
          <w:rFonts w:cs="Arial"/>
          <w:sz w:val="20"/>
          <w:lang w:val="en-US"/>
        </w:rPr>
        <w:t xml:space="preserve">. </w:t>
      </w:r>
      <w:proofErr w:type="gramStart"/>
      <w:r w:rsidRPr="00EB0DF8">
        <w:rPr>
          <w:rFonts w:cs="Arial"/>
          <w:sz w:val="20"/>
          <w:lang w:val="en-US"/>
        </w:rPr>
        <w:t>e</w:t>
      </w:r>
      <w:proofErr w:type="gramEnd"/>
      <w:r w:rsidRPr="00EB0DF8">
        <w:rPr>
          <w:rFonts w:cs="Arial"/>
          <w:sz w:val="20"/>
          <w:lang w:val="en-US"/>
        </w:rPr>
        <w:t xml:space="preserve"> </w:t>
      </w:r>
      <w:proofErr w:type="spellStart"/>
      <w:r w:rsidRPr="00EB0DF8">
        <w:rPr>
          <w:rFonts w:cs="Arial"/>
          <w:sz w:val="20"/>
          <w:lang w:val="en-US"/>
        </w:rPr>
        <w:t>ampl</w:t>
      </w:r>
      <w:proofErr w:type="spellEnd"/>
      <w:r w:rsidRPr="00EB0DF8">
        <w:rPr>
          <w:rFonts w:cs="Arial"/>
          <w:sz w:val="20"/>
          <w:lang w:val="en-US"/>
        </w:rPr>
        <w:t xml:space="preserve">. </w:t>
      </w:r>
      <w:r w:rsidRPr="00EB0DF8">
        <w:rPr>
          <w:rFonts w:cs="Arial"/>
          <w:sz w:val="20"/>
        </w:rPr>
        <w:t xml:space="preserve">– </w:t>
      </w:r>
      <w:r w:rsidRPr="00EB0DF8">
        <w:rPr>
          <w:rFonts w:cs="Arial"/>
          <w:sz w:val="20"/>
          <w:lang w:val="en-US"/>
        </w:rPr>
        <w:t xml:space="preserve">Belo Horizonte: </w:t>
      </w:r>
      <w:proofErr w:type="spellStart"/>
      <w:r w:rsidRPr="00EB0DF8">
        <w:rPr>
          <w:rFonts w:cs="Arial"/>
          <w:sz w:val="20"/>
          <w:lang w:val="en-US"/>
        </w:rPr>
        <w:t>Fórum</w:t>
      </w:r>
      <w:proofErr w:type="spellEnd"/>
      <w:r w:rsidRPr="00EB0DF8">
        <w:rPr>
          <w:rFonts w:cs="Arial"/>
          <w:sz w:val="20"/>
          <w:lang w:val="en-US"/>
        </w:rPr>
        <w:t>, 2010, p. 73.</w:t>
      </w:r>
    </w:p>
  </w:footnote>
  <w:footnote w:id="5">
    <w:p w:rsidR="00873648" w:rsidRPr="00EB0DF8" w:rsidRDefault="00873648" w:rsidP="00873648">
      <w:pPr>
        <w:pStyle w:val="Footer"/>
        <w:jc w:val="both"/>
        <w:rPr>
          <w:rFonts w:ascii="Arial" w:hAnsi="Arial" w:cs="Arial"/>
          <w:sz w:val="20"/>
        </w:rPr>
      </w:pPr>
      <w:r w:rsidRPr="00EB0DF8">
        <w:rPr>
          <w:rStyle w:val="FootnoteReference"/>
          <w:rFonts w:ascii="Arial" w:hAnsi="Arial" w:cs="Arial"/>
          <w:sz w:val="20"/>
        </w:rPr>
        <w:footnoteRef/>
      </w:r>
      <w:r w:rsidRPr="00EB0DF8">
        <w:rPr>
          <w:rFonts w:ascii="Arial" w:hAnsi="Arial" w:cs="Arial"/>
          <w:sz w:val="20"/>
        </w:rPr>
        <w:t xml:space="preserve"> MEIRELLES, Hely Lopes. </w:t>
      </w:r>
      <w:r w:rsidRPr="00EB0DF8">
        <w:rPr>
          <w:rFonts w:ascii="Arial" w:hAnsi="Arial" w:cs="Arial"/>
          <w:b/>
          <w:sz w:val="20"/>
        </w:rPr>
        <w:t>Direito Administrativo Brasileiro</w:t>
      </w:r>
      <w:r w:rsidRPr="00EB0DF8">
        <w:rPr>
          <w:rFonts w:ascii="Arial" w:hAnsi="Arial" w:cs="Arial"/>
          <w:sz w:val="20"/>
        </w:rPr>
        <w:t xml:space="preserve">. 25. </w:t>
      </w:r>
      <w:r w:rsidRPr="00EB0DF8">
        <w:rPr>
          <w:rFonts w:ascii="Arial" w:hAnsi="Arial" w:cs="Arial"/>
          <w:sz w:val="20"/>
        </w:rPr>
        <w:t>ed. – São Paulo: Malheiros Editores, 1993, p. 82.</w:t>
      </w:r>
    </w:p>
  </w:footnote>
  <w:footnote w:id="6">
    <w:p w:rsidR="00873648" w:rsidRPr="00EB0DF8" w:rsidRDefault="00873648" w:rsidP="00873648">
      <w:pPr>
        <w:pStyle w:val="Footer"/>
        <w:jc w:val="both"/>
        <w:rPr>
          <w:rFonts w:ascii="Arial" w:hAnsi="Arial" w:cs="Arial"/>
          <w:sz w:val="20"/>
        </w:rPr>
      </w:pPr>
      <w:r w:rsidRPr="00EB0DF8">
        <w:rPr>
          <w:rStyle w:val="FootnoteReference"/>
          <w:rFonts w:ascii="Arial" w:hAnsi="Arial" w:cs="Arial"/>
          <w:sz w:val="20"/>
        </w:rPr>
        <w:footnoteRef/>
      </w:r>
      <w:r w:rsidRPr="00EB0DF8">
        <w:rPr>
          <w:rFonts w:ascii="Arial" w:hAnsi="Arial" w:cs="Arial"/>
          <w:sz w:val="20"/>
        </w:rPr>
        <w:t xml:space="preserve"> </w:t>
      </w:r>
      <w:r w:rsidRPr="00EB0DF8">
        <w:rPr>
          <w:rFonts w:ascii="Arial" w:hAnsi="Arial" w:cs="Arial"/>
          <w:i/>
          <w:sz w:val="20"/>
        </w:rPr>
        <w:t>Apud</w:t>
      </w:r>
      <w:r w:rsidRPr="00EB0DF8">
        <w:rPr>
          <w:rFonts w:ascii="Arial" w:hAnsi="Arial" w:cs="Arial"/>
          <w:sz w:val="20"/>
        </w:rPr>
        <w:t xml:space="preserve"> MELLO, Celso Antônio Bandeira de. </w:t>
      </w:r>
      <w:r w:rsidRPr="00EB0DF8">
        <w:rPr>
          <w:rFonts w:ascii="Arial" w:hAnsi="Arial" w:cs="Arial"/>
          <w:b/>
          <w:sz w:val="20"/>
        </w:rPr>
        <w:t>Discricionariedade e Controle Jurisdicional</w:t>
      </w:r>
      <w:r w:rsidRPr="00EB0DF8">
        <w:rPr>
          <w:rFonts w:ascii="Arial" w:hAnsi="Arial" w:cs="Arial"/>
          <w:sz w:val="20"/>
        </w:rPr>
        <w:t xml:space="preserve">. 2. </w:t>
      </w:r>
      <w:r w:rsidRPr="00EB0DF8">
        <w:rPr>
          <w:rFonts w:ascii="Arial" w:hAnsi="Arial" w:cs="Arial"/>
          <w:sz w:val="20"/>
        </w:rPr>
        <w:t>ed. – São Paulo: Malheiros Editores, 1993, p. 51.</w:t>
      </w:r>
    </w:p>
  </w:footnote>
  <w:footnote w:id="7">
    <w:p w:rsidR="00873648" w:rsidRPr="00EB0DF8" w:rsidRDefault="00873648" w:rsidP="00873648">
      <w:pPr>
        <w:pStyle w:val="Footer"/>
        <w:jc w:val="both"/>
        <w:rPr>
          <w:rFonts w:ascii="Arial" w:hAnsi="Arial" w:cs="Arial"/>
          <w:sz w:val="20"/>
        </w:rPr>
      </w:pPr>
      <w:r w:rsidRPr="00EB0DF8">
        <w:rPr>
          <w:rStyle w:val="FootnoteReference"/>
          <w:rFonts w:ascii="Arial" w:hAnsi="Arial" w:cs="Arial"/>
          <w:sz w:val="20"/>
        </w:rPr>
        <w:footnoteRef/>
      </w:r>
      <w:r w:rsidRPr="00EB0DF8">
        <w:rPr>
          <w:rFonts w:ascii="Arial" w:hAnsi="Arial" w:cs="Arial"/>
          <w:sz w:val="20"/>
        </w:rPr>
        <w:t xml:space="preserve"> </w:t>
      </w:r>
      <w:r w:rsidRPr="00EB0DF8">
        <w:rPr>
          <w:rFonts w:ascii="Arial" w:hAnsi="Arial" w:cs="Arial"/>
          <w:sz w:val="20"/>
        </w:rPr>
        <w:t xml:space="preserve">FAGUNDES, Miguel Seabra. </w:t>
      </w:r>
      <w:r w:rsidRPr="00EB0DF8">
        <w:rPr>
          <w:rFonts w:ascii="Arial" w:hAnsi="Arial" w:cs="Arial"/>
          <w:b/>
          <w:sz w:val="20"/>
        </w:rPr>
        <w:t>Controle dos Atos Administrativos pelo Poder Judiciário</w:t>
      </w:r>
      <w:r w:rsidRPr="00EB0DF8">
        <w:rPr>
          <w:rFonts w:ascii="Arial" w:hAnsi="Arial" w:cs="Arial"/>
          <w:sz w:val="20"/>
        </w:rPr>
        <w:t>. 3. ed. – Rio de Janeiro: Forense, 1957, p. 100.</w:t>
      </w:r>
    </w:p>
  </w:footnote>
  <w:footnote w:id="8">
    <w:p w:rsidR="00873648" w:rsidRPr="00EB0DF8" w:rsidRDefault="00873648" w:rsidP="00873648">
      <w:pPr>
        <w:pStyle w:val="Footer"/>
        <w:jc w:val="both"/>
        <w:rPr>
          <w:rFonts w:ascii="Arial" w:hAnsi="Arial" w:cs="Arial"/>
          <w:sz w:val="20"/>
        </w:rPr>
      </w:pPr>
      <w:r w:rsidRPr="00EB0DF8">
        <w:rPr>
          <w:rStyle w:val="FootnoteReference"/>
          <w:rFonts w:ascii="Arial" w:hAnsi="Arial" w:cs="Arial"/>
          <w:sz w:val="20"/>
        </w:rPr>
        <w:footnoteRef/>
      </w:r>
      <w:r w:rsidRPr="00EB0DF8">
        <w:rPr>
          <w:rFonts w:ascii="Arial" w:hAnsi="Arial" w:cs="Arial"/>
          <w:sz w:val="20"/>
        </w:rPr>
        <w:t xml:space="preserve"> STJ, HC 190.334/SP, Rel. Min. NAPOLEÃO NUNES MAIA FILHO, Quinta Turma, j. </w:t>
      </w:r>
      <w:r w:rsidRPr="00EB0DF8">
        <w:rPr>
          <w:rFonts w:ascii="Arial" w:hAnsi="Arial" w:cs="Arial"/>
          <w:sz w:val="20"/>
        </w:rPr>
        <w:t xml:space="preserve">em 10/05/2011, </w:t>
      </w:r>
      <w:proofErr w:type="spellStart"/>
      <w:r w:rsidRPr="00EB0DF8">
        <w:rPr>
          <w:rFonts w:ascii="Arial" w:hAnsi="Arial" w:cs="Arial"/>
          <w:sz w:val="20"/>
        </w:rPr>
        <w:t>DJe</w:t>
      </w:r>
      <w:proofErr w:type="spellEnd"/>
      <w:r w:rsidRPr="00EB0DF8">
        <w:rPr>
          <w:rFonts w:ascii="Arial" w:hAnsi="Arial" w:cs="Arial"/>
          <w:sz w:val="20"/>
        </w:rPr>
        <w:t xml:space="preserve"> 09/06/2011.</w:t>
      </w:r>
    </w:p>
  </w:footnote>
  <w:footnote w:id="9">
    <w:p w:rsidR="00873648" w:rsidRPr="00EB0DF8" w:rsidRDefault="00873648" w:rsidP="00873648">
      <w:pPr>
        <w:pStyle w:val="Footer"/>
        <w:jc w:val="both"/>
        <w:rPr>
          <w:rFonts w:ascii="Arial" w:hAnsi="Arial" w:cs="Arial"/>
          <w:sz w:val="20"/>
        </w:rPr>
      </w:pPr>
      <w:r w:rsidRPr="00EB0DF8">
        <w:rPr>
          <w:rStyle w:val="FootnoteReference"/>
          <w:rFonts w:ascii="Arial" w:hAnsi="Arial" w:cs="Arial"/>
          <w:sz w:val="20"/>
        </w:rPr>
        <w:footnoteRef/>
      </w:r>
      <w:r w:rsidRPr="00EB0DF8">
        <w:rPr>
          <w:rFonts w:ascii="Arial" w:hAnsi="Arial" w:cs="Arial"/>
          <w:sz w:val="20"/>
        </w:rPr>
        <w:t xml:space="preserve"> TRF 5ª Região, AC 89.05.09532-1/RN, Rel. Desembargador Federal JOSÉ DELGADO, Segunda Turma, DJ 10/04/1990.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10" w:rsidRDefault="00413610">
    <w:pPr>
      <w:spacing w:before="120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413610" w:rsidRDefault="00413610">
    <w:pPr>
      <w:tabs>
        <w:tab w:val="right" w:pos="9540"/>
      </w:tabs>
      <w:spacing w:after="120"/>
      <w:rPr>
        <w:rFonts w:ascii="Arial" w:hAnsi="Arial" w:cs="Arial"/>
        <w:bCs/>
        <w:sz w:val="16"/>
      </w:rPr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  <w:r>
      <w:rPr>
        <w:rFonts w:ascii="Arial" w:hAnsi="Arial" w:cs="Arial"/>
        <w:bCs/>
        <w:sz w:val="16"/>
      </w:rPr>
      <w:t>fls.</w:t>
    </w:r>
    <w:r w:rsidR="006E5A19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PAGE </w:instrText>
    </w:r>
    <w:r w:rsidR="006E5A19">
      <w:rPr>
        <w:rFonts w:ascii="Arial" w:hAnsi="Arial" w:cs="Arial"/>
        <w:bCs/>
        <w:sz w:val="16"/>
      </w:rPr>
      <w:fldChar w:fldCharType="separate"/>
    </w:r>
    <w:r w:rsidR="000709DF">
      <w:rPr>
        <w:rFonts w:ascii="Arial" w:hAnsi="Arial" w:cs="Arial"/>
        <w:bCs/>
        <w:noProof/>
        <w:sz w:val="16"/>
      </w:rPr>
      <w:t>2</w:t>
    </w:r>
    <w:r w:rsidR="006E5A19">
      <w:rPr>
        <w:rFonts w:ascii="Arial" w:hAnsi="Arial" w:cs="Arial"/>
        <w:bCs/>
        <w:sz w:val="16"/>
      </w:rPr>
      <w:fldChar w:fldCharType="end"/>
    </w:r>
    <w:r>
      <w:rPr>
        <w:rFonts w:ascii="Arial" w:hAnsi="Arial" w:cs="Arial"/>
        <w:bCs/>
        <w:sz w:val="16"/>
      </w:rPr>
      <w:t>/</w:t>
    </w:r>
    <w:r w:rsidR="006E5A19">
      <w:rPr>
        <w:rFonts w:ascii="Arial" w:hAnsi="Arial" w:cs="Arial"/>
        <w:bCs/>
        <w:sz w:val="16"/>
      </w:rPr>
      <w:fldChar w:fldCharType="begin"/>
    </w:r>
    <w:r>
      <w:rPr>
        <w:rFonts w:ascii="Arial" w:hAnsi="Arial" w:cs="Arial"/>
        <w:bCs/>
        <w:sz w:val="16"/>
      </w:rPr>
      <w:instrText xml:space="preserve"> NUMPAGES </w:instrText>
    </w:r>
    <w:r w:rsidR="006E5A19">
      <w:rPr>
        <w:rFonts w:ascii="Arial" w:hAnsi="Arial" w:cs="Arial"/>
        <w:bCs/>
        <w:sz w:val="16"/>
      </w:rPr>
      <w:fldChar w:fldCharType="separate"/>
    </w:r>
    <w:r w:rsidR="000709DF">
      <w:rPr>
        <w:rFonts w:ascii="Arial" w:hAnsi="Arial" w:cs="Arial"/>
        <w:bCs/>
        <w:noProof/>
        <w:sz w:val="16"/>
      </w:rPr>
      <w:t>8</w:t>
    </w:r>
    <w:r w:rsidR="006E5A19">
      <w:rPr>
        <w:rFonts w:ascii="Arial" w:hAnsi="Arial" w:cs="Arial"/>
        <w:bCs/>
        <w:sz w:val="16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4A7" w:rsidRDefault="00303FDA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val="en-US" w:eastAsia="en-US"/>
      </w:rPr>
      <w:drawing>
        <wp:inline distT="0" distB="0" distL="0" distR="0">
          <wp:extent cx="762000" cy="800100"/>
          <wp:effectExtent l="19050" t="0" r="0" b="0"/>
          <wp:docPr id="1" name="Imagem 1" descr="brasao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3610" w:rsidRDefault="00413610" w:rsidP="004554A7">
    <w:pPr>
      <w:spacing w:before="12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PODER JUDICIÁRIO</w:t>
    </w:r>
  </w:p>
  <w:p w:rsidR="00413610" w:rsidRDefault="00413610" w:rsidP="004554A7">
    <w:pPr>
      <w:jc w:val="center"/>
    </w:pPr>
    <w:r>
      <w:rPr>
        <w:rFonts w:ascii="Arial" w:hAnsi="Arial"/>
        <w:b/>
        <w:sz w:val="20"/>
      </w:rPr>
      <w:t>TRIBUNAL REGIONAL FEDERAL DA PRIMEIRA REGIÃO</w:t>
    </w:r>
    <w:r>
      <w:rPr>
        <w:rFonts w:ascii="Arial" w:hAnsi="Arial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DAC"/>
    <w:multiLevelType w:val="hybridMultilevel"/>
    <w:tmpl w:val="CAEEAB38"/>
    <w:lvl w:ilvl="0" w:tplc="1CB0F4D0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4A34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EB4F8E"/>
    <w:multiLevelType w:val="hybridMultilevel"/>
    <w:tmpl w:val="C3E6D79C"/>
    <w:lvl w:ilvl="0" w:tplc="47D29EB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A262624"/>
    <w:multiLevelType w:val="multilevel"/>
    <w:tmpl w:val="78EEB8B6"/>
    <w:lvl w:ilvl="0">
      <w:start w:val="1"/>
      <w:numFmt w:val="bullet"/>
      <w:lvlText w:val="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061"/>
        </w:tabs>
        <w:ind w:left="1928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5"/>
        </w:tabs>
        <w:ind w:left="3119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4139"/>
        </w:tabs>
        <w:ind w:left="4139" w:hanging="737"/>
      </w:pPr>
      <w:rPr>
        <w:rFonts w:ascii="Symbol" w:hAnsi="Symbol" w:hint="default"/>
        <w:sz w:val="14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39610559"/>
    <w:multiLevelType w:val="hybridMultilevel"/>
    <w:tmpl w:val="B9CC37A2"/>
    <w:lvl w:ilvl="0" w:tplc="3384B4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4B"/>
    <w:rsid w:val="000709DF"/>
    <w:rsid w:val="000D543C"/>
    <w:rsid w:val="001205CC"/>
    <w:rsid w:val="0015179D"/>
    <w:rsid w:val="00173202"/>
    <w:rsid w:val="00191A8C"/>
    <w:rsid w:val="0022202A"/>
    <w:rsid w:val="002331F7"/>
    <w:rsid w:val="00303FDA"/>
    <w:rsid w:val="00304EE3"/>
    <w:rsid w:val="003606EB"/>
    <w:rsid w:val="00413610"/>
    <w:rsid w:val="004269A8"/>
    <w:rsid w:val="004554A7"/>
    <w:rsid w:val="00462716"/>
    <w:rsid w:val="00471CDF"/>
    <w:rsid w:val="004B004E"/>
    <w:rsid w:val="004C17AC"/>
    <w:rsid w:val="00524397"/>
    <w:rsid w:val="00525066"/>
    <w:rsid w:val="005A7933"/>
    <w:rsid w:val="005E20DB"/>
    <w:rsid w:val="0060230F"/>
    <w:rsid w:val="00623A96"/>
    <w:rsid w:val="006779DE"/>
    <w:rsid w:val="00677DAD"/>
    <w:rsid w:val="006A4ECE"/>
    <w:rsid w:val="006E5A19"/>
    <w:rsid w:val="00732A21"/>
    <w:rsid w:val="007A7066"/>
    <w:rsid w:val="007C3424"/>
    <w:rsid w:val="00822064"/>
    <w:rsid w:val="00852BB1"/>
    <w:rsid w:val="008713AE"/>
    <w:rsid w:val="00872397"/>
    <w:rsid w:val="00873648"/>
    <w:rsid w:val="008A3D69"/>
    <w:rsid w:val="008C4395"/>
    <w:rsid w:val="008E3830"/>
    <w:rsid w:val="0094589E"/>
    <w:rsid w:val="0095551F"/>
    <w:rsid w:val="0099169E"/>
    <w:rsid w:val="00A313DC"/>
    <w:rsid w:val="00A365E3"/>
    <w:rsid w:val="00B0643A"/>
    <w:rsid w:val="00B922DF"/>
    <w:rsid w:val="00BB33A8"/>
    <w:rsid w:val="00BE602B"/>
    <w:rsid w:val="00C3114B"/>
    <w:rsid w:val="00C5492A"/>
    <w:rsid w:val="00C67222"/>
    <w:rsid w:val="00D06DA3"/>
    <w:rsid w:val="00D221D6"/>
    <w:rsid w:val="00D84D5A"/>
    <w:rsid w:val="00D971BC"/>
    <w:rsid w:val="00DD0AC9"/>
    <w:rsid w:val="00DE2B4A"/>
    <w:rsid w:val="00E42637"/>
    <w:rsid w:val="00E839F3"/>
    <w:rsid w:val="00E850E4"/>
    <w:rsid w:val="00EC2B01"/>
    <w:rsid w:val="00EC5522"/>
    <w:rsid w:val="00EE2490"/>
    <w:rsid w:val="00EE6447"/>
    <w:rsid w:val="00F32EAD"/>
    <w:rsid w:val="00F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ificao">
    <w:name w:val="Identificação"/>
    <w:basedOn w:val="ementa"/>
    <w:link w:val="IdentificaoChar"/>
    <w:rsid w:val="00C3114B"/>
    <w:pPr>
      <w:spacing w:before="0" w:after="0"/>
    </w:pPr>
  </w:style>
  <w:style w:type="paragraph" w:customStyle="1" w:styleId="ementa">
    <w:name w:val="ementa"/>
    <w:basedOn w:val="Pargrafo"/>
    <w:rsid w:val="002331F7"/>
    <w:pPr>
      <w:ind w:firstLine="0"/>
    </w:pPr>
  </w:style>
  <w:style w:type="paragraph" w:customStyle="1" w:styleId="Pargrafo">
    <w:name w:val="Parágrafo"/>
    <w:basedOn w:val="Normal"/>
    <w:link w:val="PargrafoChar"/>
    <w:qFormat/>
    <w:rsid w:val="00C3114B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rsid w:val="00C3114B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link w:val="TranscrioChar"/>
    <w:rsid w:val="00C3114B"/>
    <w:pPr>
      <w:spacing w:before="60" w:after="60"/>
      <w:ind w:left="2268" w:firstLine="0"/>
    </w:pPr>
    <w:rPr>
      <w:i/>
    </w:rPr>
  </w:style>
  <w:style w:type="paragraph" w:styleId="Header">
    <w:name w:val="header"/>
    <w:basedOn w:val="Normal"/>
    <w:link w:val="HeaderChar"/>
    <w:uiPriority w:val="99"/>
    <w:rsid w:val="002331F7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rsid w:val="00C3114B"/>
    <w:pPr>
      <w:ind w:left="2835"/>
    </w:pPr>
  </w:style>
  <w:style w:type="paragraph" w:customStyle="1" w:styleId="transcrio3">
    <w:name w:val="transcrição 3"/>
    <w:basedOn w:val="Identificao"/>
    <w:rsid w:val="00C3114B"/>
    <w:pPr>
      <w:ind w:left="3686"/>
    </w:pPr>
    <w:rPr>
      <w:i/>
      <w:iCs/>
    </w:rPr>
  </w:style>
  <w:style w:type="paragraph" w:customStyle="1" w:styleId="transcrio4">
    <w:name w:val="transcrição 4"/>
    <w:basedOn w:val="transcrio3"/>
    <w:rsid w:val="00C3114B"/>
    <w:pPr>
      <w:ind w:left="4536"/>
    </w:pPr>
  </w:style>
  <w:style w:type="paragraph" w:customStyle="1" w:styleId="assinatura">
    <w:name w:val="assinatura"/>
    <w:basedOn w:val="Pargrafo"/>
    <w:rsid w:val="00C3114B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rsid w:val="00C3114B"/>
    <w:pPr>
      <w:spacing w:line="480" w:lineRule="auto"/>
    </w:pPr>
  </w:style>
  <w:style w:type="paragraph" w:styleId="Footer">
    <w:name w:val="footer"/>
    <w:basedOn w:val="Normal"/>
    <w:link w:val="FooterChar"/>
    <w:rsid w:val="002331F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D8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4D5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4D5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D5A"/>
    <w:rPr>
      <w:rFonts w:ascii="Consolas" w:eastAsia="Calibri" w:hAnsi="Consolas"/>
      <w:sz w:val="21"/>
      <w:szCs w:val="21"/>
      <w:lang w:eastAsia="en-US"/>
    </w:rPr>
  </w:style>
  <w:style w:type="character" w:customStyle="1" w:styleId="PargrafoChar">
    <w:name w:val="Parágrafo Char"/>
    <w:basedOn w:val="DefaultParagraphFont"/>
    <w:link w:val="Pargrafo"/>
    <w:locked/>
    <w:rsid w:val="00D84D5A"/>
    <w:rPr>
      <w:rFonts w:ascii="Arial" w:hAnsi="Arial"/>
      <w:sz w:val="22"/>
      <w:szCs w:val="24"/>
    </w:rPr>
  </w:style>
  <w:style w:type="character" w:customStyle="1" w:styleId="IdentificaoChar">
    <w:name w:val="Identificação Char"/>
    <w:basedOn w:val="DefaultParagraphFont"/>
    <w:link w:val="Identificao"/>
    <w:locked/>
    <w:rsid w:val="00D84D5A"/>
    <w:rPr>
      <w:rFonts w:ascii="Arial" w:hAnsi="Arial"/>
      <w:sz w:val="22"/>
      <w:szCs w:val="24"/>
    </w:rPr>
  </w:style>
  <w:style w:type="character" w:styleId="Strong">
    <w:name w:val="Strong"/>
    <w:basedOn w:val="DefaultParagraphFont"/>
    <w:qFormat/>
    <w:rsid w:val="00D84D5A"/>
    <w:rPr>
      <w:b/>
      <w:bCs/>
    </w:rPr>
  </w:style>
  <w:style w:type="paragraph" w:styleId="FootnoteText">
    <w:name w:val="footnote text"/>
    <w:basedOn w:val="Normal"/>
    <w:link w:val="FootnoteTextChar"/>
    <w:unhideWhenUsed/>
    <w:rsid w:val="00873648"/>
    <w:pPr>
      <w:widowControl w:val="0"/>
      <w:tabs>
        <w:tab w:val="left" w:pos="1701"/>
      </w:tabs>
      <w:jc w:val="both"/>
    </w:pPr>
    <w:rPr>
      <w:rFonts w:ascii="Arial" w:hAnsi="Arial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648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873648"/>
    <w:rPr>
      <w:sz w:val="24"/>
      <w:szCs w:val="24"/>
    </w:rPr>
  </w:style>
  <w:style w:type="character" w:customStyle="1" w:styleId="TranscrioChar">
    <w:name w:val="Transcrição Char"/>
    <w:basedOn w:val="DefaultParagraphFont"/>
    <w:link w:val="Transcrio"/>
    <w:locked/>
    <w:rsid w:val="00873648"/>
    <w:rPr>
      <w:rFonts w:ascii="Arial" w:hAnsi="Arial"/>
      <w:i/>
      <w:sz w:val="22"/>
      <w:szCs w:val="24"/>
    </w:rPr>
  </w:style>
  <w:style w:type="character" w:styleId="FootnoteReference">
    <w:name w:val="footnote reference"/>
    <w:basedOn w:val="DefaultParagraphFont"/>
    <w:unhideWhenUsed/>
    <w:rsid w:val="0087364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4D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ificao">
    <w:name w:val="Identificação"/>
    <w:basedOn w:val="ementa"/>
    <w:link w:val="IdentificaoChar"/>
    <w:rsid w:val="00C3114B"/>
    <w:pPr>
      <w:spacing w:before="0" w:after="0"/>
    </w:pPr>
  </w:style>
  <w:style w:type="paragraph" w:customStyle="1" w:styleId="ementa">
    <w:name w:val="ementa"/>
    <w:basedOn w:val="Pargrafo"/>
    <w:rsid w:val="002331F7"/>
    <w:pPr>
      <w:ind w:firstLine="0"/>
    </w:pPr>
  </w:style>
  <w:style w:type="paragraph" w:customStyle="1" w:styleId="Pargrafo">
    <w:name w:val="Parágrafo"/>
    <w:basedOn w:val="Normal"/>
    <w:link w:val="PargrafoChar"/>
    <w:qFormat/>
    <w:rsid w:val="00C3114B"/>
    <w:pPr>
      <w:spacing w:before="120" w:after="120"/>
      <w:ind w:firstLine="1418"/>
      <w:jc w:val="both"/>
    </w:pPr>
    <w:rPr>
      <w:rFonts w:ascii="Arial" w:hAnsi="Arial"/>
      <w:sz w:val="22"/>
    </w:rPr>
  </w:style>
  <w:style w:type="paragraph" w:customStyle="1" w:styleId="centralizar">
    <w:name w:val="centralizar"/>
    <w:basedOn w:val="Pargrafo"/>
    <w:next w:val="Pargrafo"/>
    <w:rsid w:val="00C3114B"/>
    <w:pPr>
      <w:spacing w:before="360" w:after="360"/>
      <w:ind w:firstLine="0"/>
      <w:jc w:val="center"/>
    </w:pPr>
    <w:rPr>
      <w:b/>
    </w:rPr>
  </w:style>
  <w:style w:type="paragraph" w:customStyle="1" w:styleId="Transcrio">
    <w:name w:val="Transcrição"/>
    <w:basedOn w:val="Pargrafo"/>
    <w:link w:val="TranscrioChar"/>
    <w:rsid w:val="00C3114B"/>
    <w:pPr>
      <w:spacing w:before="60" w:after="60"/>
      <w:ind w:left="2268" w:firstLine="0"/>
    </w:pPr>
    <w:rPr>
      <w:i/>
    </w:rPr>
  </w:style>
  <w:style w:type="paragraph" w:styleId="Header">
    <w:name w:val="header"/>
    <w:basedOn w:val="Normal"/>
    <w:link w:val="HeaderChar"/>
    <w:uiPriority w:val="99"/>
    <w:rsid w:val="002331F7"/>
    <w:pPr>
      <w:tabs>
        <w:tab w:val="center" w:pos="4252"/>
        <w:tab w:val="right" w:pos="8504"/>
      </w:tabs>
    </w:pPr>
  </w:style>
  <w:style w:type="paragraph" w:customStyle="1" w:styleId="transcrio2">
    <w:name w:val="transcrição 2"/>
    <w:basedOn w:val="Transcrio"/>
    <w:rsid w:val="00C3114B"/>
    <w:pPr>
      <w:ind w:left="2835"/>
    </w:pPr>
  </w:style>
  <w:style w:type="paragraph" w:customStyle="1" w:styleId="transcrio3">
    <w:name w:val="transcrição 3"/>
    <w:basedOn w:val="Identificao"/>
    <w:rsid w:val="00C3114B"/>
    <w:pPr>
      <w:ind w:left="3686"/>
    </w:pPr>
    <w:rPr>
      <w:i/>
      <w:iCs/>
    </w:rPr>
  </w:style>
  <w:style w:type="paragraph" w:customStyle="1" w:styleId="transcrio4">
    <w:name w:val="transcrição 4"/>
    <w:basedOn w:val="transcrio3"/>
    <w:rsid w:val="00C3114B"/>
    <w:pPr>
      <w:ind w:left="4536"/>
    </w:pPr>
  </w:style>
  <w:style w:type="paragraph" w:customStyle="1" w:styleId="assinatura">
    <w:name w:val="assinatura"/>
    <w:basedOn w:val="Pargrafo"/>
    <w:rsid w:val="00C3114B"/>
    <w:pPr>
      <w:spacing w:before="0" w:after="0"/>
      <w:ind w:firstLine="0"/>
      <w:jc w:val="center"/>
    </w:pPr>
  </w:style>
  <w:style w:type="paragraph" w:customStyle="1" w:styleId="Pargrafo2">
    <w:name w:val="Parágrafo 2"/>
    <w:basedOn w:val="Pargrafo"/>
    <w:rsid w:val="00C3114B"/>
    <w:pPr>
      <w:spacing w:line="480" w:lineRule="auto"/>
    </w:pPr>
  </w:style>
  <w:style w:type="paragraph" w:styleId="Footer">
    <w:name w:val="footer"/>
    <w:basedOn w:val="Normal"/>
    <w:link w:val="FooterChar"/>
    <w:rsid w:val="002331F7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rsid w:val="00D84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4D5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84D5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84D5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D5A"/>
    <w:rPr>
      <w:rFonts w:ascii="Consolas" w:eastAsia="Calibri" w:hAnsi="Consolas"/>
      <w:sz w:val="21"/>
      <w:szCs w:val="21"/>
      <w:lang w:eastAsia="en-US"/>
    </w:rPr>
  </w:style>
  <w:style w:type="character" w:customStyle="1" w:styleId="PargrafoChar">
    <w:name w:val="Parágrafo Char"/>
    <w:basedOn w:val="DefaultParagraphFont"/>
    <w:link w:val="Pargrafo"/>
    <w:locked/>
    <w:rsid w:val="00D84D5A"/>
    <w:rPr>
      <w:rFonts w:ascii="Arial" w:hAnsi="Arial"/>
      <w:sz w:val="22"/>
      <w:szCs w:val="24"/>
    </w:rPr>
  </w:style>
  <w:style w:type="character" w:customStyle="1" w:styleId="IdentificaoChar">
    <w:name w:val="Identificação Char"/>
    <w:basedOn w:val="DefaultParagraphFont"/>
    <w:link w:val="Identificao"/>
    <w:locked/>
    <w:rsid w:val="00D84D5A"/>
    <w:rPr>
      <w:rFonts w:ascii="Arial" w:hAnsi="Arial"/>
      <w:sz w:val="22"/>
      <w:szCs w:val="24"/>
    </w:rPr>
  </w:style>
  <w:style w:type="character" w:styleId="Strong">
    <w:name w:val="Strong"/>
    <w:basedOn w:val="DefaultParagraphFont"/>
    <w:qFormat/>
    <w:rsid w:val="00D84D5A"/>
    <w:rPr>
      <w:b/>
      <w:bCs/>
    </w:rPr>
  </w:style>
  <w:style w:type="paragraph" w:styleId="FootnoteText">
    <w:name w:val="footnote text"/>
    <w:basedOn w:val="Normal"/>
    <w:link w:val="FootnoteTextChar"/>
    <w:unhideWhenUsed/>
    <w:rsid w:val="00873648"/>
    <w:pPr>
      <w:widowControl w:val="0"/>
      <w:tabs>
        <w:tab w:val="left" w:pos="1701"/>
      </w:tabs>
      <w:jc w:val="both"/>
    </w:pPr>
    <w:rPr>
      <w:rFonts w:ascii="Arial" w:hAnsi="Arial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873648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rsid w:val="00873648"/>
    <w:rPr>
      <w:sz w:val="24"/>
      <w:szCs w:val="24"/>
    </w:rPr>
  </w:style>
  <w:style w:type="character" w:customStyle="1" w:styleId="TranscrioChar">
    <w:name w:val="Transcrição Char"/>
    <w:basedOn w:val="DefaultParagraphFont"/>
    <w:link w:val="Transcrio"/>
    <w:locked/>
    <w:rsid w:val="00873648"/>
    <w:rPr>
      <w:rFonts w:ascii="Arial" w:hAnsi="Arial"/>
      <w:i/>
      <w:sz w:val="22"/>
      <w:szCs w:val="24"/>
    </w:rPr>
  </w:style>
  <w:style w:type="character" w:styleId="FootnoteReference">
    <w:name w:val="footnote reference"/>
    <w:basedOn w:val="DefaultParagraphFont"/>
    <w:unhideWhenUsed/>
    <w:rsid w:val="008736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ora2-trf1\Modelos\modelos%20gabinetes\M&#193;SCARA%20PADR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C334E-4CA4-AC4B-95B8-F58C2424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\\srvora2-trf1\Modelos\modelos gabinetes\MÁSCARA PADRÃO.DOT</Template>
  <TotalTime>1</TotalTime>
  <Pages>8</Pages>
  <Words>2702</Words>
  <Characters>15406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trf1</Company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ju106</dc:creator>
  <cp:lastModifiedBy>Lydia Abud Lopes</cp:lastModifiedBy>
  <cp:revision>2</cp:revision>
  <dcterms:created xsi:type="dcterms:W3CDTF">2018-04-28T20:14:00Z</dcterms:created>
  <dcterms:modified xsi:type="dcterms:W3CDTF">2018-04-28T20:14:00Z</dcterms:modified>
</cp:coreProperties>
</file>